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Treat collaboration as a serviceable asset: use amortisation, health checks and AI to protect 25% of contract value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Servicing Collaboration as a Business Asset: Turning Relationship-Derived Value into Long-Term Capability</w:t>
      </w:r>
      <w:r/>
    </w:p>
    <w:p>
      <w:r/>
      <w:r>
        <w:t>In an era where supply chains are stretched by volatility, resilience hinges less on contracts and more on the relationships that underwrite them. Across procurement and supplier management, collaboration has emerged as a genuine asset—one that can unlock value far beyond the original margins of a deal. Let us suppose, for argument’s sake, that 25% of the total value a contract yields over its term is derived not from price alone but from relationship-driven collaboration. A striking figure, perhaps, but increasingly plausible and, crucially, underutilised.</w:t>
      </w:r>
      <w:r/>
    </w:p>
    <w:p>
      <w:r/>
      <w:r>
        <w:t>The Asset: Collaboration as a Transformative Force</w:t>
      </w:r>
      <w:r/>
    </w:p>
    <w:p>
      <w:r/>
      <w:r>
        <w:t>Collaboration is not a single milestone to be achieved; it is a spectrum of activity that unfolds over time. It spans strategic alignment, day-to-day operations, and innovation-driven work, each requiring patience, openness, and trust to mature. The analogy is instructive: collaboration is like placing food in a preheated oven. The environment must come to the right conditions before the value begins to rise. In practice, value from collaboration accrues as maturity deepens—enabled by better technology, clearer goals, and stronger mutual understanding.</w:t>
      </w:r>
      <w:r/>
    </w:p>
    <w:p>
      <w:r/>
      <w:r>
        <w:t>This evolving nature makes collaboration a genuine asset. When stewarded deliberately, it becomes embedded in the business model—harder to quantify at first glance, but measurable in its impact on performance and competitive advantage. Without ongoing attention, however, the asset loses steam. Relationships age, agreements become misaligned, and value can drift away. In the parlance of contracting, such neglect can turn a promising collaboration into a “value-leaking liability.”</w:t>
      </w:r>
      <w:r/>
    </w:p>
    <w:p>
      <w:r/>
      <w:r>
        <w:t>Keeping the Asset Alive: Continuous Engagement</w:t>
      </w:r>
      <w:r/>
    </w:p>
    <w:p>
      <w:r/>
      <w:r>
        <w:t>Treating collaboration as a live asset requires disciplined maintenance. Think of it as regular servicing for a high‑performing enterprise relationship:</w:t>
      </w:r>
      <w:r/>
      <w:r/>
    </w:p>
    <w:p>
      <w:pPr>
        <w:pStyle w:val="ListBullet"/>
        <w:spacing w:line="240" w:lineRule="auto"/>
        <w:ind w:left="720"/>
      </w:pPr>
      <w:r/>
      <w:r>
        <w:t>Health checks: Periodic reviews of collaborative initiatives across the key areas—innovation, cost-efficiency, sustainability, and risk—ensure the value trajectory remains positive.</w:t>
      </w:r>
      <w:r/>
    </w:p>
    <w:p>
      <w:pPr>
        <w:pStyle w:val="ListBullet"/>
        <w:spacing w:line="240" w:lineRule="auto"/>
        <w:ind w:left="720"/>
      </w:pPr>
      <w:r/>
      <w:r>
        <w:t>Trust maintenance: Trust is not a one-off achievement but a continuous discipline—transparency, fairness, and consistent communication as guardrails.</w:t>
      </w:r>
      <w:r/>
    </w:p>
    <w:p>
      <w:pPr>
        <w:pStyle w:val="ListBullet"/>
        <w:spacing w:line="240" w:lineRule="auto"/>
        <w:ind w:left="720"/>
      </w:pPr>
      <w:r/>
      <w:r>
        <w:t>Dynamic adjustments: The business landscape shifts, and so should collaboration. Regular recalibration of goals, governance, and incentives keeps the partnership aligned with current needs and future opportunities.</w:t>
      </w:r>
      <w:r/>
      <w:r/>
    </w:p>
    <w:p>
      <w:r/>
      <w:r>
        <w:t>Amortising Collaboration Value: Measuring and Renewing the Value Curve</w:t>
      </w:r>
      <w:r/>
    </w:p>
    <w:p>
      <w:r/>
      <w:r>
        <w:t>If collaboration is an asset, organisations should expect its value to follow a depreciation and renewal arc. An amortising curve offers a practical way to visualise where value may be leaking and where protection is needed. Such curves provide a framework for renewal—enabling proactive actions to sustain and unlock value over time.</w:t>
      </w:r>
      <w:r/>
    </w:p>
    <w:p>
      <w:r/>
      <w:r>
        <w:t>By embracing a dynamic view of collaboration, companies can extend the useful life of a contract’s value. Rather than watching value erode, they can reinvest in the partnership, refresh joint capabilities, and maintain competitive edge. The aim is not merely to prevent decline but to continually extract and re‑invest in value creation.</w:t>
      </w:r>
      <w:r/>
    </w:p>
    <w:p>
      <w:r/>
      <w:r>
        <w:t>The Future of Relationship-Derived Value: Technology as a Multiplier</w:t>
      </w:r>
      <w:r/>
    </w:p>
    <w:p>
      <w:r/>
      <w:r>
        <w:t>The field is evolving rapidly, propelled by advances in data analytics and artificial intelligence. Today’s tools enable organisations to measure collaboration with greater precision, manage the portfolio of partnerships more efficiently, and scale successful practices across the enterprise. The story is no longer about contracts as end points but about starting points for value-rich journeys.</w:t>
      </w:r>
      <w:r/>
    </w:p>
    <w:p>
      <w:r/>
      <w:r>
        <w:t>This shift aligns with a broader realisation: the most durable contracts are not tomato-stamped bargains but living, generative ecosystems. By unlocking the collaborative potential embedded in relationships, businesses can sustain growth and remain competitive in an increasingly interconnected world.</w:t>
      </w:r>
      <w:r/>
    </w:p>
    <w:p>
      <w:r/>
      <w:r>
        <w:t>A Practical Blueprint: How to Start Valuing and Servicing Collaboration</w:t>
      </w:r>
      <w:r/>
    </w:p>
    <w:p>
      <w:r/>
      <w:r>
        <w:t>For organisations ready to treat collaboration as a strategic asset, here is a concise playbook:</w:t>
      </w:r>
      <w:r/>
      <w:r/>
    </w:p>
    <w:p>
      <w:pPr>
        <w:pStyle w:val="ListBullet"/>
        <w:spacing w:line="240" w:lineRule="auto"/>
        <w:ind w:left="720"/>
      </w:pPr>
      <w:r/>
      <w:r>
        <w:t>Map the value streams: Identify where collaboration contributes to the contract’s total value—cost, quality, innovation, risk mitigation, and sustainability.</w:t>
      </w:r>
      <w:r/>
    </w:p>
    <w:p>
      <w:pPr>
        <w:pStyle w:val="ListBullet"/>
        <w:spacing w:line="240" w:lineRule="auto"/>
        <w:ind w:left="720"/>
      </w:pPr>
      <w:r/>
      <w:r>
        <w:t>Establish governance: Create clear roles, decision rights, and escalation paths for collaboration initiatives.</w:t>
      </w:r>
      <w:r/>
    </w:p>
    <w:p>
      <w:pPr>
        <w:pStyle w:val="ListBullet"/>
        <w:spacing w:line="240" w:lineRule="auto"/>
        <w:ind w:left="720"/>
      </w:pPr>
      <w:r/>
      <w:r>
        <w:t>Define measurable outcomes: Set KPIs that capture both short‑term wins and long‑term capability building (for example, yield from joint innovation, cycle-time reductions, or risk-adjusted savings).</w:t>
      </w:r>
      <w:r/>
    </w:p>
    <w:p>
      <w:pPr>
        <w:pStyle w:val="ListBullet"/>
        <w:spacing w:line="240" w:lineRule="auto"/>
        <w:ind w:left="720"/>
      </w:pPr>
      <w:r/>
      <w:r>
        <w:t>Schedule regular health checks: Implement a cadence of reviews to assess progress, recalibrate goals, and refresh commitments.</w:t>
      </w:r>
      <w:r/>
    </w:p>
    <w:p>
      <w:pPr>
        <w:pStyle w:val="ListBullet"/>
        <w:spacing w:line="240" w:lineRule="auto"/>
        <w:ind w:left="720"/>
      </w:pPr>
      <w:r/>
      <w:r>
        <w:t>Invest in relationships: Allocate time and resources to trust-building activities, joint problem‑solving, and transparent communication.</w:t>
      </w:r>
      <w:r/>
    </w:p>
    <w:p>
      <w:pPr>
        <w:pStyle w:val="ListBullet"/>
        <w:spacing w:line="240" w:lineRule="auto"/>
        <w:ind w:left="720"/>
      </w:pPr>
      <w:r/>
      <w:r>
        <w:t>Build an amortisation model: Develop a simple curve that tracks the depreciation of collaboration value and signals renewal needs.</w:t>
      </w:r>
      <w:r/>
    </w:p>
    <w:p>
      <w:pPr>
        <w:pStyle w:val="ListBullet"/>
        <w:spacing w:line="240" w:lineRule="auto"/>
        <w:ind w:left="720"/>
      </w:pPr>
      <w:r/>
      <w:r>
        <w:t>Align incentives and contracts: Ensure payment terms, performance incentives, and renewal options reinforce collaboration over time.</w:t>
      </w:r>
      <w:r/>
    </w:p>
    <w:p>
      <w:pPr>
        <w:pStyle w:val="ListBullet"/>
        <w:spacing w:line="240" w:lineRule="auto"/>
        <w:ind w:left="720"/>
      </w:pPr>
      <w:r/>
      <w:r>
        <w:t>Leverage data and tools: Use AI and analytics to surface insights, forecast potential value, and scale successful collaboration practices.</w:t>
      </w:r>
      <w:r/>
      <w:r/>
    </w:p>
    <w:p>
      <w:r/>
      <w:r>
        <w:t>A Closing Question</w:t>
      </w:r>
      <w:r/>
    </w:p>
    <w:p>
      <w:r/>
      <w:r>
        <w:t>It is up to organisations to decide whether they will let their collaborative partnerships depreciate. Or will they steward them as enduring, value-generating assets—continually serviced, renewed, and scaled to keep pace with an evolving business environment?</w:t>
      </w:r>
      <w:r/>
    </w:p>
    <w:p>
      <w:r/>
      <w:r>
        <w:t>In the end, collaboration is more than a strategic preference; it is a measurable, manageable asset that can drive substantial long‑term value. As companies refine the tools and processes for managing collaboration, the opportunity to capitalise on relationship‑derived value will only grow.</w:t>
      </w:r>
      <w:r/>
    </w:p>
    <w:p>
      <w:pPr>
        <w:pStyle w:val="Heading2"/>
      </w:pPr>
      <w:r>
        <w:t>Bibliography</w:t>
      </w:r>
      <w:r/>
      <w:r/>
    </w:p>
    <w:p>
      <w:pPr>
        <w:pStyle w:val="ListNumber"/>
        <w:numPr>
          <w:ilvl w:val="0"/>
          <w:numId w:val="14"/>
        </w:numPr>
        <w:spacing w:line="240" w:lineRule="auto"/>
        <w:ind w:left="720"/>
      </w:pPr>
      <w:r/>
      <w:hyperlink r:id="rId9">
        <w:r>
          <w:rPr>
            <w:color w:val="0000EE"/>
            <w:u w:val="single"/>
          </w:rPr>
          <w:t>https://www.mckinsey.com/capabilities/operations/our-insights/taking-supplier-collaboration-to-the-next-level</w:t>
        </w:r>
      </w:hyperlink>
      <w:r>
        <w:t xml:space="preserve"> - Corroborates the claim that collaboration with suppliers unlocks value beyond price and must be integrated into procurement strategy, describing how joint planning, innovation co‑development and formal governance raise growth, reduce costs and improve resilience.</w:t>
      </w:r>
      <w:r/>
    </w:p>
    <w:p>
      <w:pPr>
        <w:pStyle w:val="ListNumber"/>
        <w:spacing w:line="240" w:lineRule="auto"/>
        <w:ind w:left="720"/>
      </w:pPr>
      <w:r/>
      <w:hyperlink r:id="rId10">
        <w:r>
          <w:rPr>
            <w:color w:val="0000EE"/>
            <w:u w:val="single"/>
          </w:rPr>
          <w:t>https://hbr.org/2011/06/collaboration-as-an-intangible</w:t>
        </w:r>
      </w:hyperlink>
      <w:r>
        <w:t xml:space="preserve"> - Supports the article’s framing of collaboration as an intangible business asset that must be stewarded and measured, explaining how collaboration can be cultivated, embedded and assessed over time rather than treated as a one‑off activity.</w:t>
      </w:r>
      <w:r/>
    </w:p>
    <w:p>
      <w:pPr>
        <w:pStyle w:val="ListNumber"/>
        <w:spacing w:line="240" w:lineRule="auto"/>
        <w:ind w:left="720"/>
      </w:pPr>
      <w:r/>
      <w:hyperlink r:id="rId11">
        <w:r>
          <w:rPr>
            <w:color w:val="0000EE"/>
            <w:u w:val="single"/>
          </w:rPr>
          <w:t>https://www2.deloitte.com/us/en/insights/focus/supply-chain/issues-in-global-supply-chain.html</w:t>
        </w:r>
      </w:hyperlink>
      <w:r>
        <w:t xml:space="preserve"> - Provides evidence that trust, transparency and ongoing engagement with suppliers materially affect performance and resilience, backing the piece’s emphasis on continuous trust maintenance and transparent communication as guardrails for collaboration.</w:t>
      </w:r>
      <w:r/>
    </w:p>
    <w:p>
      <w:pPr>
        <w:pStyle w:val="ListNumber"/>
        <w:spacing w:line="240" w:lineRule="auto"/>
        <w:ind w:left="720"/>
      </w:pPr>
      <w:r/>
      <w:hyperlink r:id="rId12">
        <w:r>
          <w:rPr>
            <w:color w:val="0000EE"/>
            <w:u w:val="single"/>
          </w:rPr>
          <w:t>https://www.iasplus.com/en-gb/standards/ias/ias38/</w:t>
        </w:r>
      </w:hyperlink>
      <w:r>
        <w:t xml:space="preserve"> - Explains IAS 38 guidance on intangible assets and amortisation, supporting the article’s analogy that relationship‑derived value can be viewed like an intangible asset with a useful life that should be monitored for depreciation and renewal.</w:t>
      </w:r>
      <w:r/>
    </w:p>
    <w:p>
      <w:pPr>
        <w:pStyle w:val="ListNumber"/>
        <w:spacing w:line="240" w:lineRule="auto"/>
        <w:ind w:left="720"/>
      </w:pPr>
      <w:r/>
      <w:hyperlink r:id="rId13">
        <w:r>
          <w:rPr>
            <w:color w:val="0000EE"/>
            <w:u w:val="single"/>
          </w:rPr>
          <w:t>https://www.deloitte.com/us/en/services/consulting/articles/procurement-data-quality-standards-for-artificial-intelligence-adoption.html</w:t>
        </w:r>
      </w:hyperlink>
      <w:r>
        <w:t xml:space="preserve"> - Shows how advanced analytics and AI act as multipliers for procurement and supplier management—enabling better measurement, forecasting and scaling of successful collaboration practices as described in the article.</w:t>
      </w:r>
      <w:r/>
    </w:p>
    <w:p>
      <w:pPr>
        <w:pStyle w:val="ListNumber"/>
        <w:spacing w:line="240" w:lineRule="auto"/>
        <w:ind w:left="720"/>
      </w:pPr>
      <w:r/>
      <w:hyperlink r:id="rId14">
        <w:r>
          <w:rPr>
            <w:color w:val="0000EE"/>
            <w:u w:val="single"/>
          </w:rPr>
          <w:t>https://globalstandard.cips.org/segments/segment-8.5-measuring-the-performance-of-the-supply-chain/</w:t>
        </w:r>
      </w:hyperlink>
      <w:r>
        <w:t xml:space="preserve"> - Sets out best practices for supplier performance measurement, KPIs and periodic reviews, corroborating the article’s practical playbook items such as health checks, scorecards, governance and measurable outcomes for servicing collaboration.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ckinsey.com/capabilities/operations/our-insights/taking-supplier-collaboration-to-the-next-level" TargetMode="External"/><Relationship Id="rId10" Type="http://schemas.openxmlformats.org/officeDocument/2006/relationships/hyperlink" Target="https://hbr.org/2011/06/collaboration-as-an-intangible" TargetMode="External"/><Relationship Id="rId11" Type="http://schemas.openxmlformats.org/officeDocument/2006/relationships/hyperlink" Target="https://www2.deloitte.com/us/en/insights/focus/supply-chain/issues-in-global-supply-chain.html" TargetMode="External"/><Relationship Id="rId12" Type="http://schemas.openxmlformats.org/officeDocument/2006/relationships/hyperlink" Target="https://www.iasplus.com/en-gb/standards/ias/ias38/" TargetMode="External"/><Relationship Id="rId13" Type="http://schemas.openxmlformats.org/officeDocument/2006/relationships/hyperlink" Target="https://www.deloitte.com/us/en/services/consulting/articles/procurement-data-quality-standards-for-artificial-intelligence-adoption.html" TargetMode="External"/><Relationship Id="rId14" Type="http://schemas.openxmlformats.org/officeDocument/2006/relationships/hyperlink" Target="https://globalstandard.cips.org/segments/segment-8.5-measuring-the-performance-of-the-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