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Kiteworks warns defence contractors of looming multi-million dollar risks ahead of CMMC deadline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Four Days to Nov. 10: Kiteworks Warns Defence Contractors of Multi-Million Dollar Risks if CMMC Compliance Not Achieved</w:t>
      </w:r>
      <w:r/>
    </w:p>
    <w:p>
      <w:r/>
      <w:r>
        <w:rPr>
          <w:b/>
        </w:rPr>
        <w:t>San Mateo, CA – November 6, 2025</w:t>
      </w:r>
      <w:r>
        <w:t xml:space="preserve"> – With just five days remaining until the Department of Defence (DoD) Cybersecurity Maturity Model Certification (CMMC) rule goes live on Nov. 10, 2025, </w:t>
      </w:r>
      <w:hyperlink r:id="rId9">
        <w:r>
          <w:rPr>
            <w:color w:val="0000EE"/>
            <w:u w:val="single"/>
          </w:rPr>
          <w:t>Kiteworks</w:t>
        </w:r>
      </w:hyperlink>
      <w:r>
        <w:t xml:space="preserve"> is urging defence contractors to act immediately to close critical cybersecurity and governance gaps. The finalised CMMC rule, amending the Defence Federal Acquisition Regulation Supplement (DFARS), embeds mandatory cybersecurity requirements into all applicable DoD contracts, including obligations that flow to subcontractors. According to Kiteworks’ </w:t>
      </w:r>
      <w:r>
        <w:rPr>
          <w:i/>
        </w:rPr>
        <w:t>2025 Data Security &amp; Compliance Risk: Annual Survey Report</w:t>
      </w:r>
      <w:r>
        <w:t>, which analysed 104 organisations actively pursuing CMMC 2.0 certification, critical gaps among defence contractors include:</w:t>
      </w:r>
      <w:r/>
      <w:r/>
    </w:p>
    <w:p>
      <w:pPr>
        <w:pStyle w:val="ListBullet"/>
        <w:spacing w:line="240" w:lineRule="auto"/>
        <w:ind w:left="720"/>
      </w:pPr>
      <w:r/>
      <w:r>
        <w:rPr>
          <w:b/>
        </w:rPr>
        <w:t>44–56%</w:t>
      </w:r>
      <w:r>
        <w:t xml:space="preserve"> lack full end-to-end encryption for sensitive data</w:t>
      </w:r>
      <w:r/>
    </w:p>
    <w:p>
      <w:pPr>
        <w:pStyle w:val="ListBullet"/>
        <w:spacing w:line="240" w:lineRule="auto"/>
        <w:ind w:left="720"/>
      </w:pPr>
      <w:r/>
      <w:r>
        <w:rPr>
          <w:b/>
        </w:rPr>
        <w:t>42–39%</w:t>
      </w:r>
      <w:r>
        <w:t xml:space="preserve"> lack visibility into third-party ecosystems</w:t>
      </w:r>
      <w:r/>
    </w:p>
    <w:p>
      <w:pPr>
        <w:pStyle w:val="ListBullet"/>
        <w:spacing w:line="240" w:lineRule="auto"/>
        <w:ind w:left="720"/>
      </w:pPr>
      <w:r/>
      <w:r>
        <w:rPr>
          <w:b/>
        </w:rPr>
        <w:t>65%</w:t>
      </w:r>
      <w:r>
        <w:t xml:space="preserve"> rely on manual compliance processes, limiting audit readiness</w:t>
      </w:r>
      <w:r/>
    </w:p>
    <w:p>
      <w:pPr>
        <w:pStyle w:val="ListBullet"/>
        <w:spacing w:line="240" w:lineRule="auto"/>
        <w:ind w:left="720"/>
      </w:pPr>
      <w:r/>
      <w:r>
        <w:rPr>
          <w:b/>
        </w:rPr>
        <w:t>Only 17%</w:t>
      </w:r>
      <w:r>
        <w:t xml:space="preserve"> have formal AI governance frameworks, leaving Controlled Unclassified Information (CUI) exposed</w:t>
      </w:r>
      <w:r/>
      <w:r/>
    </w:p>
    <w:p>
      <w:r/>
      <w:r>
        <w:t>The financial stakes are significant:</w:t>
      </w:r>
      <w:r/>
      <w:r/>
    </w:p>
    <w:p>
      <w:pPr>
        <w:pStyle w:val="ListBullet"/>
        <w:spacing w:line="240" w:lineRule="auto"/>
        <w:ind w:left="720"/>
      </w:pPr>
      <w:r/>
      <w:r>
        <w:rPr>
          <w:b/>
        </w:rPr>
        <w:t>Lost Contract Revenue:</w:t>
      </w:r>
      <w:r>
        <w:t xml:space="preserve"> Unprepared contractors risk being barred from new and renewed DoD contracts, representing potential millions in lost revenue.</w:t>
      </w:r>
      <w:r/>
    </w:p>
    <w:p>
      <w:pPr>
        <w:pStyle w:val="ListBullet"/>
        <w:spacing w:line="240" w:lineRule="auto"/>
        <w:ind w:left="720"/>
      </w:pPr>
      <w:r/>
      <w:r>
        <w:rPr>
          <w:b/>
        </w:rPr>
        <w:t>Legal &amp; Penalty Exposure:</w:t>
      </w:r>
      <w:r>
        <w:t xml:space="preserve"> Misrepresenting compliance or failing audits can trigger substantial legal and contractual penalties, including potential exclusion from future contracts.</w:t>
      </w:r>
      <w:r/>
    </w:p>
    <w:p>
      <w:pPr>
        <w:pStyle w:val="ListBullet"/>
        <w:spacing w:line="240" w:lineRule="auto"/>
        <w:ind w:left="720"/>
      </w:pPr>
      <w:r/>
      <w:r>
        <w:rPr>
          <w:b/>
        </w:rPr>
        <w:t>Operational &amp; Security Costs:</w:t>
      </w:r>
      <w:r>
        <w:t xml:space="preserve"> Non-compliance increases exposure to cyber breaches, ransomware, and supply chain disruption, leading to millions in remediation costs, lost productivity, and reputational damage.</w:t>
      </w:r>
      <w:r/>
      <w:r/>
    </w:p>
    <w:p>
      <w:r/>
      <w:r>
        <w:t xml:space="preserve">“With only five days until Nov. 10, contractors can’t afford to wait,” said </w:t>
      </w:r>
      <w:hyperlink r:id="rId10">
        <w:r>
          <w:rPr>
            <w:color w:val="0000EE"/>
            <w:u w:val="single"/>
          </w:rPr>
          <w:t>Frank Balonis</w:t>
        </w:r>
      </w:hyperlink>
      <w:r>
        <w:t>, CISO and SVP of Operations at Kiteworks. “CMMC compliance is no longer optional , organisations must implement robust governance, encryption, and monitoring controls immediately or face lost contracts, legal penalties, and operational disruption.”</w:t>
      </w:r>
      <w:r/>
    </w:p>
    <w:p>
      <w:r/>
      <w:r>
        <w:rPr>
          <w:b/>
        </w:rPr>
        <w:t>Immediate Action Steps for Contractors</w:t>
      </w:r>
      <w:r>
        <w:t>Kiteworks recommends defence contractors take the following steps to prepare for Nov. 10 and beyond:</w:t>
      </w:r>
      <w:r/>
      <w:r/>
    </w:p>
    <w:p>
      <w:pPr>
        <w:pStyle w:val="ListNumber"/>
        <w:numPr>
          <w:ilvl w:val="0"/>
          <w:numId w:val="14"/>
        </w:numPr>
        <w:spacing w:line="240" w:lineRule="auto"/>
        <w:ind w:left="720"/>
      </w:pPr>
      <w:r/>
      <w:r>
        <w:rPr>
          <w:b/>
        </w:rPr>
        <w:t>Implement End-to-End Encryption</w:t>
      </w:r>
      <w:r>
        <w:t xml:space="preserve"> across all CUI and sensitive data flows.</w:t>
      </w:r>
      <w:r/>
    </w:p>
    <w:p>
      <w:pPr>
        <w:pStyle w:val="ListNumber"/>
        <w:spacing w:line="240" w:lineRule="auto"/>
        <w:ind w:left="720"/>
      </w:pPr>
      <w:r/>
      <w:r>
        <w:rPr>
          <w:b/>
        </w:rPr>
        <w:t>Replace Manual Compliance Processes</w:t>
      </w:r>
      <w:r>
        <w:t xml:space="preserve"> with automated governance and continuous monitoring.</w:t>
      </w:r>
      <w:r/>
    </w:p>
    <w:p>
      <w:pPr>
        <w:pStyle w:val="ListNumber"/>
        <w:spacing w:line="240" w:lineRule="auto"/>
        <w:ind w:left="720"/>
      </w:pPr>
      <w:r/>
      <w:r>
        <w:rPr>
          <w:b/>
        </w:rPr>
        <w:t>Inventory and Monitor Third-Party Relationships</w:t>
      </w:r>
      <w:r>
        <w:t xml:space="preserve"> to ensure CUI protection across the supply chain.</w:t>
      </w:r>
      <w:r/>
    </w:p>
    <w:p>
      <w:pPr>
        <w:pStyle w:val="ListNumber"/>
        <w:spacing w:line="240" w:lineRule="auto"/>
        <w:ind w:left="720"/>
      </w:pPr>
      <w:r/>
      <w:r>
        <w:rPr>
          <w:b/>
        </w:rPr>
        <w:t>Establish AI Governance Frameworks</w:t>
      </w:r>
      <w:r>
        <w:t xml:space="preserve"> to track, control, and secure AI-generated CUI.</w:t>
      </w:r>
      <w:r/>
    </w:p>
    <w:p>
      <w:pPr>
        <w:pStyle w:val="ListNumber"/>
        <w:spacing w:line="240" w:lineRule="auto"/>
        <w:ind w:left="720"/>
      </w:pPr>
      <w:r/>
      <w:r>
        <w:rPr>
          <w:b/>
        </w:rPr>
        <w:t>Adopt Advanced Privacy and Security Technologies</w:t>
      </w:r>
      <w:r>
        <w:t xml:space="preserve"> such as zero-trust, confidential computing, and secure file-sharing platforms.</w:t>
      </w:r>
      <w:r/>
    </w:p>
    <w:p>
      <w:pPr>
        <w:pStyle w:val="ListNumber"/>
        <w:spacing w:line="240" w:lineRule="auto"/>
        <w:ind w:left="720"/>
      </w:pPr>
      <w:r/>
      <w:r>
        <w:rPr>
          <w:b/>
        </w:rPr>
        <w:t>Document Policies and Controls</w:t>
      </w:r>
      <w:r>
        <w:t xml:space="preserve"> to provide verifiable evidence for CMMC assessments and SPRS reporting.</w:t>
      </w:r>
      <w:r/>
      <w:r/>
    </w:p>
    <w:p>
      <w:r/>
      <w:r>
        <w:rPr>
          <w:b/>
        </w:rPr>
        <w:t>Kiteworks Solutions for Rapid Compliance</w:t>
      </w:r>
      <w:r>
        <w:t>The Kiteworks Private Data Network delivers nearly 90% of CMMC Level 2 controls out-of-the-box, helping contractors:</w:t>
      </w:r>
      <w:r/>
      <w:r/>
    </w:p>
    <w:p>
      <w:pPr>
        <w:pStyle w:val="ListBullet"/>
        <w:spacing w:line="240" w:lineRule="auto"/>
        <w:ind w:left="720"/>
      </w:pPr>
      <w:r/>
      <w:r>
        <w:t>Implement end-to-end encryption and automated governance</w:t>
      </w:r>
      <w:r/>
    </w:p>
    <w:p>
      <w:pPr>
        <w:pStyle w:val="ListBullet"/>
        <w:spacing w:line="240" w:lineRule="auto"/>
        <w:ind w:left="720"/>
      </w:pPr>
      <w:r/>
      <w:r>
        <w:t>Gain continuous monitoring and audit-ready oversight</w:t>
      </w:r>
      <w:r/>
    </w:p>
    <w:p>
      <w:pPr>
        <w:pStyle w:val="ListBullet"/>
        <w:spacing w:line="240" w:lineRule="auto"/>
        <w:ind w:left="720"/>
      </w:pPr>
      <w:r/>
      <w:r>
        <w:t>Demonstrate verifiable compliance to prime contractors and CMMC assessors</w:t>
      </w:r>
      <w:r/>
      <w:r/>
    </w:p>
    <w:p>
      <w:r/>
      <w:r>
        <w:t xml:space="preserve">“Defence contractors who act now don’t just avoid penalties , they gain competitive advantage, strengthen supply chain trust, and protect national security interests,” Balonis added. Read the full 2025 Data Security and Compliance Risk: Annual Survey Report </w:t>
      </w:r>
      <w:hyperlink r:id="rId11">
        <w:r>
          <w:rPr>
            <w:color w:val="0000EE"/>
            <w:u w:val="single"/>
          </w:rPr>
          <w:t>here</w:t>
        </w:r>
      </w:hyperlink>
      <w:r>
        <w:t>.</w:t>
      </w:r>
      <w:r/>
    </w:p>
    <w:p>
      <w:r/>
      <w:r>
        <w:rPr>
          <w:b/>
        </w:rPr>
        <w:t>About Kiteworks</w:t>
      </w:r>
      <w:r>
        <w:t xml:space="preserve">Kiteworks’ mission is to empower organizations to effectively manage risk in every send, share, receive, and use of private data. The Kiteworks platform provides customers with a </w:t>
      </w:r>
      <w:hyperlink r:id="rId12">
        <w:r>
          <w:rPr>
            <w:color w:val="0000EE"/>
            <w:u w:val="single"/>
          </w:rPr>
          <w:t>Private Data Network</w:t>
        </w:r>
      </w:hyperlink>
      <w:r>
        <w:t xml:space="preserve"> that delivers data governance, compliance, and protection. The platform unifies, tracks, controls, and secures sensitive data moving within, into, and out of their organisation, significantly improving risk management and ensuring regulatory compliance on all private data exchanges. Headquartered in Silicon Valley, Kiteworks protects over 100 million end-users and over 1,500 global enterprises and government agencies.</w:t>
      </w:r>
      <w:r/>
    </w:p>
    <w:p>
      <w:r/>
      <w:r>
        <w:rPr>
          <w:b/>
        </w:rPr>
        <w:t>Media Contact:</w:t>
      </w:r>
      <w:r>
        <w:t>David Schutzman PR Manager, Kiteworks</w:t>
      </w:r>
      <w:hyperlink r:id="rId13">
        <w:r>
          <w:rPr>
            <w:color w:val="0000EE"/>
            <w:u w:val="single"/>
          </w:rPr>
          <w:t>david.schutzman@kiteworks.com</w:t>
        </w:r>
      </w:hyperlink>
      <w:r/>
    </w:p>
    <w:p>
      <w:pPr>
        <w:pStyle w:val="Heading2"/>
      </w:pPr>
      <w:r>
        <w:t>Bibliography</w:t>
      </w:r>
      <w:r/>
      <w:r/>
    </w:p>
    <w:p>
      <w:pPr>
        <w:pStyle w:val="ListNumber"/>
        <w:numPr>
          <w:ilvl w:val="0"/>
          <w:numId w:val="15"/>
        </w:numPr>
        <w:spacing w:line="240" w:lineRule="auto"/>
        <w:ind w:left="720"/>
      </w:pPr>
      <w:r/>
      <w:hyperlink r:id="rId14">
        <w:r>
          <w:rPr>
            <w:color w:val="0000EE"/>
            <w:u w:val="single"/>
          </w:rPr>
          <w:t>https://business.defense.gov/Programs/Cyber-Security-Resources/CMMC-20/</w:t>
        </w:r>
      </w:hyperlink>
      <w:r>
        <w:t xml:space="preserve"> - This official Department of Defense page provides details on the Cybersecurity Maturity Model Certification (CMMC) 2.0, including its implementation and requirements, which are set to take effect on November 10, 2025.</w:t>
      </w:r>
      <w:r/>
    </w:p>
    <w:p>
      <w:pPr>
        <w:pStyle w:val="ListNumber"/>
        <w:spacing w:line="240" w:lineRule="auto"/>
        <w:ind w:left="720"/>
      </w:pPr>
      <w:r/>
      <w:hyperlink r:id="rId15">
        <w:r>
          <w:rPr>
            <w:color w:val="0000EE"/>
            <w:u w:val="single"/>
          </w:rPr>
          <w:t>https://www.grfcpa.com/resource/dfars-publishes-final-rule-on-cmmc-effective-november-10/</w:t>
        </w:r>
      </w:hyperlink>
      <w:r>
        <w:t xml:space="preserve"> - This article discusses the final rule published by the Department of Defense on September 10, 2025, amending the Defense Federal Acquisition Regulation Supplement (DFARS) to incorporate CMMC requirements, effective November 10, 2025.</w:t>
      </w:r>
      <w:r/>
    </w:p>
    <w:p>
      <w:pPr>
        <w:pStyle w:val="ListNumber"/>
        <w:spacing w:line="240" w:lineRule="auto"/>
        <w:ind w:left="720"/>
      </w:pPr>
      <w:r/>
      <w:hyperlink r:id="rId16">
        <w:r>
          <w:rPr>
            <w:color w:val="0000EE"/>
            <w:u w:val="single"/>
          </w:rPr>
          <w:t>https://www.cozen.com/news-resources/publications/2025/this-is-not-a-drill-cmmc-will-go-into-effect-on-november-10-2025</w:t>
        </w:r>
      </w:hyperlink>
      <w:r>
        <w:t xml:space="preserve"> - This alert from Cozen O’Connor outlines the implications of the CMMC rule, including the requirement for contracting officers to verify contractor compliance and the phased implementation schedule starting November 10, 2025.</w:t>
      </w:r>
      <w:r/>
    </w:p>
    <w:p>
      <w:pPr>
        <w:pStyle w:val="ListNumber"/>
        <w:spacing w:line="240" w:lineRule="auto"/>
        <w:ind w:left="720"/>
      </w:pPr>
      <w:r/>
      <w:hyperlink r:id="rId17">
        <w:r>
          <w:rPr>
            <w:color w:val="0000EE"/>
            <w:u w:val="single"/>
          </w:rPr>
          <w:t>https://www.mayerbrown.com/en/insights/publications/2025/09/department-of-defense-releases-long-anticipated-final-rule-implementing-the-cybersecurity-maturity-model-certification-program</w:t>
        </w:r>
      </w:hyperlink>
      <w:r>
        <w:t xml:space="preserve"> - This publication provides insights into the final rule released by the Department of Defense, detailing the integration of CMMC into the DoD acquisition process and its effective date of November 10, 2025.</w:t>
      </w:r>
      <w:r/>
    </w:p>
    <w:p>
      <w:pPr>
        <w:pStyle w:val="ListNumber"/>
        <w:spacing w:line="240" w:lineRule="auto"/>
        <w:ind w:left="720"/>
      </w:pPr>
      <w:r/>
      <w:hyperlink r:id="rId18">
        <w:r>
          <w:rPr>
            <w:color w:val="0000EE"/>
            <w:u w:val="single"/>
          </w:rPr>
          <w:t>https://kpmg.com/us/en/articles/2025/cybersecurity-dod-final-rule-on-cmmc-contract-requirements-reg-alert.html</w:t>
        </w:r>
      </w:hyperlink>
      <w:r>
        <w:t xml:space="preserve"> - This article from KPMG discusses the final rule amending the DFARS to incorporate CMMC requirements, effective November 10, 2025, and its phased implementation over three years.</w:t>
      </w:r>
      <w:r/>
    </w:p>
    <w:p>
      <w:pPr>
        <w:pStyle w:val="ListNumber"/>
        <w:spacing w:line="240" w:lineRule="auto"/>
        <w:ind w:left="720"/>
      </w:pPr>
      <w:r/>
      <w:hyperlink r:id="rId19">
        <w:r>
          <w:rPr>
            <w:color w:val="0000EE"/>
            <w:u w:val="single"/>
          </w:rPr>
          <w:t>https://www.winston.com/en/blogs-and-podcasts/investigations-enforcement-and-compliance-alerts/dod-publishes-final-cybersecurity-maturity-model-certification-rule</w:t>
        </w:r>
      </w:hyperlink>
      <w:r>
        <w:t xml:space="preserve"> - This blog post from Winston &amp; Strawn details the final CMMC rule published by the Department of Defense, including the phased rollout starting November 10, 2025, and its implications for contractors.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teworks.com/" TargetMode="External"/><Relationship Id="rId10" Type="http://schemas.openxmlformats.org/officeDocument/2006/relationships/hyperlink" Target="https://www.linkedin.com/in/frank-balonis-47317913/" TargetMode="External"/><Relationship Id="rId11" Type="http://schemas.openxmlformats.org/officeDocument/2006/relationships/hyperlink" Target="" TargetMode="External"/><Relationship Id="rId12" Type="http://schemas.openxmlformats.org/officeDocument/2006/relationships/hyperlink" Target="https://www.kiteworks.com/platform/private-data-network/" TargetMode="External"/><Relationship Id="rId13" Type="http://schemas.openxmlformats.org/officeDocument/2006/relationships/hyperlink" Target="mailto:david.schutzman@kiteworks.com" TargetMode="External"/><Relationship Id="rId14" Type="http://schemas.openxmlformats.org/officeDocument/2006/relationships/hyperlink" Target="https://business.defense.gov/Programs/Cyber-Security-Resources/CMMC-20/" TargetMode="External"/><Relationship Id="rId15" Type="http://schemas.openxmlformats.org/officeDocument/2006/relationships/hyperlink" Target="https://www.grfcpa.com/resource/dfars-publishes-final-rule-on-cmmc-effective-november-10/" TargetMode="External"/><Relationship Id="rId16" Type="http://schemas.openxmlformats.org/officeDocument/2006/relationships/hyperlink" Target="https://www.cozen.com/news-resources/publications/2025/this-is-not-a-drill-cmmc-will-go-into-effect-on-november-10-2025" TargetMode="External"/><Relationship Id="rId17" Type="http://schemas.openxmlformats.org/officeDocument/2006/relationships/hyperlink" Target="https://www.mayerbrown.com/en/insights/publications/2025/09/department-of-defense-releases-long-anticipated-final-rule-implementing-the-cybersecurity-maturity-model-certification-program" TargetMode="External"/><Relationship Id="rId18" Type="http://schemas.openxmlformats.org/officeDocument/2006/relationships/hyperlink" Target="https://kpmg.com/us/en/articles/2025/cybersecurity-dod-final-rule-on-cmmc-contract-requirements-reg-alert.html" TargetMode="External"/><Relationship Id="rId19" Type="http://schemas.openxmlformats.org/officeDocument/2006/relationships/hyperlink" Target="https://www.winston.com/en/blogs-and-podcasts/investigations-enforcement-and-compliance-alerts/dod-publishes-final-cybersecurity-maturity-model-certification-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