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Dynatrace unveils AI-powered innovations at Perform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Perform event in Las Vegas, Dynatrace unveiled a series of innovations aimed at enhancing businesses' interactions with their data through AI-powered observability. As enterprises face an influx of data and increasing complexity, Dynatrace's new capabilities are designed to help organisations not only adapt but leverage insights from their existing data to foster growth and resilience.</w:t>
      </w:r>
      <w:r/>
    </w:p>
    <w:p>
      <w:r/>
      <w:r>
        <w:t>Dynatrace's latest platform advancements encompass a range of industry-leading tools, including expanded compliance features to support regulations such as the EU’s Digital Operational Resilience Act (DORA). The company has also introduced enhancements to its AI Observability solution, focusing on empowering clients with deeper insights into their Generative AI initiatives.</w:t>
      </w:r>
      <w:r/>
    </w:p>
    <w:p>
      <w:r/>
      <w:r>
        <w:t xml:space="preserve">Central to these advancements is a commitment to </w:t>
      </w:r>
      <w:r>
        <w:rPr>
          <w:b/>
        </w:rPr>
        <w:t>AI-powered operational excellence</w:t>
      </w:r>
      <w:r>
        <w:t>. Dynatrace aims to elevate its AIOps capabilities, allowing organizations to take a proactive stance on problem resolution. According to Bernd Greifeneder, CTO and Founder at Dynatrace, “Businesses today operate in an era of unprecedented complexity, where success hinges on the ability to unlock insights from data, embrace innovation, and drive meaningful impact from AI” (Business Wire). This proactive approach is anticipated to facilitate reliable applications, operational elasticity, and a faster route to market for new innovations.</w:t>
      </w:r>
      <w:r/>
    </w:p>
    <w:p>
      <w:r/>
      <w:r>
        <w:t xml:space="preserve">The company is also shifting its focus further left in the development process with </w:t>
      </w:r>
      <w:r>
        <w:rPr>
          <w:b/>
        </w:rPr>
        <w:t>new developer-focused enhancements</w:t>
      </w:r>
      <w:r>
        <w:t>. The introduction of tools such as advanced analytics and a Live Debugger aims to provide development teams with real-time insights into application performance and infrastructure health. This is particularly essential as systems become increasingly distributed and dynamic, necessitating expedited cross-team collaboration to convert insights into tangible business outcomes.</w:t>
      </w:r>
      <w:r/>
    </w:p>
    <w:p>
      <w:r/>
      <w:r>
        <w:t xml:space="preserve">Moreover, Dynatrace is reinforcing its commitment to security with new </w:t>
      </w:r>
      <w:r>
        <w:rPr>
          <w:b/>
        </w:rPr>
        <w:t>Cloud Security Posture Management (CSPM)</w:t>
      </w:r>
      <w:r>
        <w:t xml:space="preserve"> capabilities, which enhance compliance and effectiveness within complex environments. This integrated approach to security monitoring provides organizations with a consolidated view of their security status, enabling quicker reactions to emerging threats.</w:t>
      </w:r>
      <w:r/>
    </w:p>
    <w:p>
      <w:r/>
      <w:r>
        <w:t xml:space="preserve">Dynatrace’s bold advancements signal a transformative shift in how organisations can manage supplier relationships. By focusing on </w:t>
      </w:r>
      <w:r>
        <w:rPr>
          <w:b/>
        </w:rPr>
        <w:t>operational analytics</w:t>
      </w:r>
      <w:r>
        <w:t xml:space="preserve"> and moving beyond traditional KPIs and dashboards, companies can adopt a framework that promotes continuous learning and adaptation in an era dominated by digital transformation.</w:t>
      </w:r>
      <w:r/>
    </w:p>
    <w:p>
      <w:r/>
      <w:r>
        <w:t>The ongoing discussions at the Perform event will continue to explore how leveraging AI can ultimately secure a competitive edge in today’s fast-paced digital economy. For enterprises looking to redefine their supplier relationship management, these innovations offer a pathway to achieving greater agility and effectiveness.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https://ir.dynatrace.com/news-events/press-releases/detail/367/dynatrace-introduces-observability-for-developers</w:t>
        </w:r>
      </w:hyperlink>
      <w:r>
        <w:t xml:space="preserve"> - This URL supports the claim about Dynatrace's new developer-focused enhancements, including advanced analytics and a Live Debugger, which provide real-time insights into application performance and infrastructure health.</w:t>
      </w:r>
      <w:r/>
    </w:p>
    <w:p>
      <w:pPr>
        <w:pStyle w:val="ListNumber"/>
        <w:spacing w:line="240" w:lineRule="auto"/>
        <w:ind w:left="720"/>
      </w:pPr>
      <w:r/>
      <w:hyperlink r:id="rId11">
        <w:r>
          <w:rPr>
            <w:color w:val="0000EE"/>
            <w:u w:val="single"/>
          </w:rPr>
          <w:t>https://www.dynatrace.com/news/press-release/dynatrace-advances-ai-observability-to-support-generative-ai-initiatives/</w:t>
        </w:r>
      </w:hyperlink>
      <w:r>
        <w:t xml:space="preserve"> - This URL corroborates Dynatrace's advancements in AI-powered observability, particularly in supporting Generative AI initiatives with enhanced model analytics and security features.</w:t>
      </w:r>
      <w:r/>
    </w:p>
    <w:p>
      <w:pPr>
        <w:pStyle w:val="ListNumber"/>
        <w:spacing w:line="240" w:lineRule="auto"/>
        <w:ind w:left="720"/>
      </w:pPr>
      <w:r/>
      <w:hyperlink r:id="rId12">
        <w:r>
          <w:rPr>
            <w:color w:val="0000EE"/>
            <w:u w:val="single"/>
          </w:rPr>
          <w:t>https://www.dynatrace.com/</w:t>
        </w:r>
      </w:hyperlink>
      <w:r>
        <w:t xml:space="preserve"> - Dynatrace's official website provides an overview of their AI-powered observability platform and its capabilities in enhancing operational excellence and security.</w:t>
      </w:r>
      <w:r/>
    </w:p>
    <w:p>
      <w:pPr>
        <w:pStyle w:val="ListNumber"/>
        <w:spacing w:line="240" w:lineRule="auto"/>
        <w:ind w:left="720"/>
      </w:pPr>
      <w:r/>
      <w:hyperlink r:id="rId9">
        <w:r>
          <w:rPr>
            <w:color w:val="0000EE"/>
            <w:u w:val="single"/>
          </w:rPr>
          <w:t>https://www.noahwire.com</w:t>
        </w:r>
      </w:hyperlink>
      <w:r>
        <w:t xml:space="preserve"> - This URL is mentioned as a source for the article, though it does not directly provide specific information about Dynatrace's innovations.</w:t>
      </w:r>
      <w:r/>
    </w:p>
    <w:p>
      <w:pPr>
        <w:pStyle w:val="ListNumber"/>
        <w:spacing w:line="240" w:lineRule="auto"/>
        <w:ind w:left="720"/>
      </w:pPr>
      <w:r/>
      <w:hyperlink r:id="rId13">
        <w:r>
          <w:rPr>
            <w:color w:val="0000EE"/>
            <w:u w:val="single"/>
          </w:rPr>
          <w:t>https://www.eba.europa.eu/regulation-and-policy/digital-operational-resilience-act-dora</w:t>
        </w:r>
      </w:hyperlink>
      <w:r>
        <w:t xml:space="preserve"> - This URL supports the mention of the EU's Digital Operational Resilience Act (DORA), which Dynatrace's compliance features are designed to support.</w:t>
      </w:r>
      <w:r/>
    </w:p>
    <w:p>
      <w:pPr>
        <w:pStyle w:val="ListNumber"/>
        <w:spacing w:line="240" w:lineRule="auto"/>
        <w:ind w:left="720"/>
      </w:pPr>
      <w:r/>
      <w:hyperlink r:id="rId14">
        <w:r>
          <w:rPr>
            <w:color w:val="0000EE"/>
            <w:u w:val="single"/>
          </w:rPr>
          <w:t>https://www.idc.com/getdoc.jsp?containerId=PR167830422</w:t>
        </w:r>
      </w:hyperlink>
      <w:r>
        <w:t xml:space="preserve"> - This URL would typically provide information on IDC forecasts related to AI and technology spending, supporting the broader context of AI adoption and investment.</w:t>
      </w:r>
      <w:r/>
    </w:p>
    <w:p>
      <w:pPr>
        <w:pStyle w:val="ListNumber"/>
        <w:spacing w:line="240" w:lineRule="auto"/>
        <w:ind w:left="720"/>
      </w:pPr>
      <w:r/>
      <w:hyperlink r:id="rId15">
        <w:r>
          <w:rPr>
            <w:color w:val="0000EE"/>
            <w:u w:val="single"/>
          </w:rPr>
          <w:t>https://www.businesswire.com/news/home/20250204096913/en/Dynatrace-Showcases-New-Possibilities-for-Innovation-at-Perform-2025/?feedref=JjAwJuNHiystnCoBq_hl-bV7DTIYheT0D-1vT4_bKFzt_EW40VMdK6eG-WLfRGUE1fJraLPL1g6AeUGJlCTYs7Oafol48Kkc8KJgZoTHgMu0w8LYSbRdYOj2VdwnuKwa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r.dynatrace.com/news-events/press-releases/detail/367/dynatrace-introduces-observability-for-developers" TargetMode="External"/><Relationship Id="rId11" Type="http://schemas.openxmlformats.org/officeDocument/2006/relationships/hyperlink" Target="https://www.dynatrace.com/news/press-release/dynatrace-advances-ai-observability-to-support-generative-ai-initiatives/" TargetMode="External"/><Relationship Id="rId12" Type="http://schemas.openxmlformats.org/officeDocument/2006/relationships/hyperlink" Target="https://www.dynatrace.com/" TargetMode="External"/><Relationship Id="rId13" Type="http://schemas.openxmlformats.org/officeDocument/2006/relationships/hyperlink" Target="https://www.eba.europa.eu/regulation-and-policy/digital-operational-resilience-act-dora" TargetMode="External"/><Relationship Id="rId14" Type="http://schemas.openxmlformats.org/officeDocument/2006/relationships/hyperlink" Target="https://www.idc.com/getdoc.jsp?containerId=PR167830422" TargetMode="External"/><Relationship Id="rId15" Type="http://schemas.openxmlformats.org/officeDocument/2006/relationships/hyperlink" Target="https://www.businesswire.com/news/home/20250204096913/en/Dynatrace-Showcases-New-Possibilities-for-Innovation-at-Perform-2025/?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