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research promises to revolutionise toll systems with AI and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toll system management, researcher Umesh Waghmode from Texas has published a comprehensive technical implementation guide in the International Journal of Scientific Research in Computer Science. This research outlines innovative developments that are set to reshape financial data handling and operations management within modern transportation infrastructure. Waghmode's work merges artificial intelligence, machine learning, and advanced analytics to modernise toll systems nationwide.</w:t>
      </w:r>
      <w:r/>
    </w:p>
    <w:p>
      <w:r/>
      <w:r>
        <w:t>Digital infrastructure is evolving rapidly, with contemporary toll collection procedures witnessing a staggering volume of over 7 billion transactions each year across major highways. The adoption rate of electronic toll collection has soared to 85% in developed nations. Current sophisticated toll systems are capable of processing about 250,000 transactions per hour during peak periods. However, the new architecture introduced by Waghmode increases that capacity significantly to 1.2 million transactions each hour through a three-tier structural approach that achieves an exceptional 99.99% accuracy in transaction capture. During peak operations, it can manage 850,000 records minute by minute. To ensure service continuity, this robust infrastructure integrates sophisticated load balancing algorithms and redundant processing nodes while intelligent caching mechanisms are employed to optimise data access patterns, effectively reducing database load by 75% during periods of high traffic.</w:t>
      </w:r>
      <w:r/>
    </w:p>
    <w:p>
      <w:r/>
      <w:r>
        <w:t>Moreover, Waghmode's research elucidates smart revenue management and financial intelligence. Through dynamic pricing strategies, toll systems have realised a revenue increase of 15-20% and a reduction in peak-hour congestion by up to 30%. The AI-driven financial systems process in excess of 500,000 transactions on a daily basis, consistently achieving 99.99% accuracy. Notably, machine learning algorithms have demonstrated a precision of 97.8% in anomaly detection in financial patterns while processing over 15 billion historical records at remarkable speeds. Thus, integrating AI-powered analytics allows for real-time adjustments of pricing strategies, informed by current traffic conditions, weather patterns, and past trends. Additionally, advanced fraud detection algorithms bolster security, continuously monitoring financial transactions to deliver instant alerts if anomalies are detected.</w:t>
      </w:r>
      <w:r/>
    </w:p>
    <w:p>
      <w:r/>
      <w:r>
        <w:t>The use of advanced analytics also enhances the system’s capabilities in data processing and visualisation. Context-aware ranking algorithms can process up to 100,000 data points per second with 98.5% accuracy, and a dedicated visualisation engine is adept at handling complex hierarchical structures with up to 50,000 nodes while maintaining response times below 300 milliseconds. This leads to effective real-time data analysis across diverse operational dimensions, empowering stakeholders with actionable insights.</w:t>
      </w:r>
      <w:r/>
    </w:p>
    <w:p>
      <w:r/>
      <w:r>
        <w:t>Further improvements are underscored by automated reporting and system performance features. The framework is engineered to undertake 75,000 scheduled tasks every day, managing 1,200 concurrent report generations with a 99.97% accuracy rate in scheduling. Daily, the system distributes 2.5 terabytes of report data, ensuring end-to-end encryption for enhanced security. Real-time decision support capabilities facilitate prompt responses to traffic pattern alterations, accommodating peak flows of 3,000 vehicles per lane per hour. This comprehensive automation has effectively streamlined reporting workflows and reduced manual interventions, resulting in an 85% decrease in such activities while improving data security through advanced encryption and stringent authentication protocols.</w:t>
      </w:r>
      <w:r/>
    </w:p>
    <w:p>
      <w:r/>
      <w:r>
        <w:t>Operational benefits are noteworthy, with the implementation yielding annual savings of $2.5 million for each major facility. Predictive maintenance algorithms have contributed to a 30% reduction in maintenance costs. The system maintains a 99.9% uptime for communication channels, providing critical updates to decision-makers within 5 minutes of substantial occurrences. Automation has also enhanced operational efficiency, enabling early identification of potential issues and a consequent 85% reduction in system downtime, along with a 40% enhancement in resource allocation.</w:t>
      </w:r>
      <w:r/>
    </w:p>
    <w:p>
      <w:r/>
      <w:r>
        <w:t>On the stakeholder front, automated reporting facilitates the generation of over 1,000 customised reports daily, while comprehensive auditing capabilities manage around 50 million entries monthly. As a result, the system has recorded a 28% increase in customer satisfaction levels while still maintaining operating margins above 65%.</w:t>
      </w:r>
      <w:r/>
    </w:p>
    <w:p>
      <w:r/>
      <w:r>
        <w:t>Umesh Waghmode’s research represents a pivotal moment in the evolution of transportation infrastructure technology. By integrating artificial intelligence with advanced financial reporting mechanisms, his work not only revolutionises traditional toll operations but also establishes a new standard for efficiency and reliability. This integrated digital solution exemplifies a future-oriented approach to managing transportation challenges and underscores the potential for continued innovation in the field of infrastructure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https://techbullion.com/next-generation-financial-reporting-transforms-modern-toll-systems/</w:t>
        </w:r>
      </w:hyperlink>
      <w:r>
        <w:t xml:space="preserve"> - This article corroborates Umesh Waghmode's research on integrating AI and machine learning into toll systems, enhancing financial reporting and operations management. It highlights the system's ability to process a high volume of transactions with exceptional accuracy.</w:t>
      </w:r>
      <w:r/>
    </w:p>
    <w:p>
      <w:pPr>
        <w:pStyle w:val="ListNumber"/>
        <w:spacing w:line="240" w:lineRule="auto"/>
        <w:ind w:left="720"/>
      </w:pPr>
      <w:r/>
      <w:hyperlink r:id="rId11">
        <w:r>
          <w:rPr>
            <w:color w:val="0000EE"/>
            <w:u w:val="single"/>
          </w:rPr>
          <w:t>https://www.annualreports.com/HostedData/AnnualReportArchive/a/LSE_AGK_2010.pdf</w:t>
        </w:r>
      </w:hyperlink>
      <w:r>
        <w:t xml:space="preserve"> - Although not directly related to toll systems, this report illustrates the importance of advanced financial management and operational efficiency in infrastructure, which aligns with Waghmode's focus on smart revenue management.</w:t>
      </w:r>
      <w:r/>
    </w:p>
    <w:p>
      <w:pPr>
        <w:pStyle w:val="ListNumber"/>
        <w:spacing w:line="240" w:lineRule="auto"/>
        <w:ind w:left="720"/>
      </w:pPr>
      <w:r/>
      <w:hyperlink r:id="rId12">
        <w:r>
          <w:rPr>
            <w:color w:val="0000EE"/>
            <w:u w:val="single"/>
          </w:rPr>
          <w:t>https://www.jetir.org/archive?v=10&amp;i=5&amp;j=May+2023</w:t>
        </w:r>
      </w:hyperlink>
      <w:r>
        <w:t xml:space="preserve"> - This journal issue includes research on innovative technologies, which supports the broader context of integrating advanced technologies like AI and machine learning into infrastructure management, as seen in Waghmode's work.</w:t>
      </w:r>
      <w:r/>
    </w:p>
    <w:p>
      <w:pPr>
        <w:pStyle w:val="ListNumber"/>
        <w:spacing w:line="240" w:lineRule="auto"/>
        <w:ind w:left="720"/>
      </w:pPr>
      <w:r/>
      <w:hyperlink r:id="rId13">
        <w:r>
          <w:rPr>
            <w:color w:val="0000EE"/>
            <w:u w:val="single"/>
          </w:rPr>
          <w:t>https://www.acquisition.gov/far/part-9</w:t>
        </w:r>
      </w:hyperlink>
      <w:r>
        <w:t xml:space="preserve"> - This resource outlines standards for contractor qualifications and performance, which indirectly relates to the operational efficiency and reliability improvements achieved by Waghmode's system through advanced analytics and automation.</w:t>
      </w:r>
      <w:r/>
    </w:p>
    <w:p>
      <w:pPr>
        <w:pStyle w:val="ListNumber"/>
        <w:spacing w:line="240" w:lineRule="auto"/>
        <w:ind w:left="720"/>
      </w:pPr>
      <w:r/>
      <w:hyperlink r:id="rId14">
        <w:r>
          <w:rPr>
            <w:color w:val="0000EE"/>
            <w:u w:val="single"/>
          </w:rPr>
          <w:t>https://apcentral.collegeboard.org/media/pdf/ap20-seminar-task-2-iwa-directions-and-stimulus-materials.pdf</w:t>
        </w:r>
      </w:hyperlink>
      <w:r>
        <w:t xml:space="preserve"> - While not directly related to toll systems, this document emphasizes the importance of thorough research and analysis in developing innovative solutions, similar to Waghmode's comprehensive approach to modernizing toll operations.</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article about Umesh Waghmode's research, highlighting the integration of AI and advanced analytics in toll systems.</w:t>
      </w:r>
      <w:r/>
    </w:p>
    <w:p>
      <w:pPr>
        <w:pStyle w:val="ListNumber"/>
        <w:spacing w:line="240" w:lineRule="auto"/>
        <w:ind w:left="720"/>
      </w:pPr>
      <w:r/>
      <w:hyperlink r:id="rId10">
        <w:r>
          <w:rPr>
            <w:color w:val="0000EE"/>
            <w:u w:val="single"/>
          </w:rPr>
          <w:t>https://techbullion.com/next-generation-financial-reporting-transforms-modern-toll-systems/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next-generation-financial-reporting-transforms-modern-toll-systems/" TargetMode="External"/><Relationship Id="rId11" Type="http://schemas.openxmlformats.org/officeDocument/2006/relationships/hyperlink" Target="https://www.annualreports.com/HostedData/AnnualReportArchive/a/LSE_AGK_2010.pdf" TargetMode="External"/><Relationship Id="rId12" Type="http://schemas.openxmlformats.org/officeDocument/2006/relationships/hyperlink" Target="https://www.jetir.org/archive?v=10&amp;i=5&amp;j=May+2023" TargetMode="External"/><Relationship Id="rId13" Type="http://schemas.openxmlformats.org/officeDocument/2006/relationships/hyperlink" Target="https://www.acquisition.gov/far/part-9" TargetMode="External"/><Relationship Id="rId14" Type="http://schemas.openxmlformats.org/officeDocument/2006/relationships/hyperlink" Target="https://apcentral.collegeboard.org/media/pdf/ap20-seminar-task-2-iwa-directions-and-stimulus-material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