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Study reveals alarming gaps in industrial technical documentation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study conducted by Samp, a developer of AI-powered solutions for industrial sites, has revealed alarming gaps in technical documentation across modern industrial facilities, highlighting that as much as 30% of this crucial documentation may be outdated. This deficiency poses significant risks, such as increased accidents, inefficiencies, errors, and operational costs.</w:t>
      </w:r>
      <w:r/>
    </w:p>
    <w:p>
      <w:r/>
      <w:r>
        <w:t>The analysis from Samp indicates that while industrial facilities typically modify around 2% of their assets annually, only half of these changes are accurately reflected in their documentation. This discrepancy leads to an annual accumulation of errors by approximately 1%. In facilities that are around 30 years old—a relatively young age in the industrial sector—this translates to an alarming 30% margin for error. Furthermore, as many industrial facilities tend to exceed this 30-year mark, the prevalence of inaccuracies is expected to be even more pronounced.</w:t>
      </w:r>
      <w:r/>
    </w:p>
    <w:p>
      <w:r/>
      <w:r>
        <w:t>Insights from a poll of 24 European industrial site managers echoed these concerns, revealing a general lack of confidence regarding clean asset data. Although 14 managers provided information on the integrity of their technical asset data, only one reported having over 80% clean data. The remaining majority estimated their clean data at 60% or below.</w:t>
      </w:r>
      <w:r/>
    </w:p>
    <w:p>
      <w:r/>
      <w:r>
        <w:t xml:space="preserve">Laurent Bourgouin, CEO of Samp, remarked, “We have always found between 20% and 30% errors or gaps in the technical documentation of industrial facilities. These findings reinforce the scale of the documentation challenge facing industrial sites, where poor data integrity contributes to inefficiencies and operational risks.” </w:t>
      </w:r>
      <w:r/>
    </w:p>
    <w:p>
      <w:r/>
      <w:r>
        <w:t>The implications of these data gaps are multifold. They can lead to increased downtime as a consequence of inaccurate system maps, elevate maintenance costs stemming from outdated infrastructures, and present greater risks in terms of safety and compliance standards. Furthermore, reliance on outdated or legacy data hampers the ability to effectively upgrade and transform infrastructure.</w:t>
      </w:r>
      <w:r/>
    </w:p>
    <w:p>
      <w:r/>
      <w:r>
        <w:t xml:space="preserve">Bourgouin further highlighted the feasibility of addressing these documentation challenges, explaining, “Many sites don’t grasp that these issues can be addressed over a weekend, with Shared Reality capturing on-site data and offering teams a comprehensive view of their facilities.” Shared Reality allows the integration of technical documentation with real-time site conditions, creating an interactive collaborative workspace for all stakeholders involved, including operators, maintenance personnel, engineers, and management. </w:t>
      </w:r>
      <w:r/>
    </w:p>
    <w:p>
      <w:r/>
      <w:r>
        <w:t>This technology aims to provide a reliable and single source of truth for all teams, improving safety and operational efficiency. Bourgouin also noted that "Shared Reality empowers teams to execute work safely, efficiently, and with no surprises on site, ultimately closing the data gap that many sites struggle with. It is vital if industrial sites are to succeed in their digital transformation, save costs, and ensure safety.”</w:t>
      </w:r>
      <w:r/>
    </w:p>
    <w:p>
      <w:r/>
      <w:r>
        <w:t>Industry reports further substantiate the urgency of this issue, revealing that unplanned downtime incurs costs of approximately $50 billion annually for manufacturers, with inaccuracies in data emerging as a significant contributing factor. According to Samp, facilities that have adopted the Shared Reality technology have realised considerable savings in maintenance through enhanced, data-driven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https://samp.ai/digital-twin-sustainment-the-elephant-in-the-room/</w:t>
        </w:r>
      </w:hyperlink>
      <w:r>
        <w:t xml:space="preserve"> - This URL supports the discussion on Samp's involvement in addressing industrial documentation challenges through AI-powered solutions. It highlights the importance of digital twin sustainment in industrial operations.</w:t>
      </w:r>
      <w:r/>
    </w:p>
    <w:p>
      <w:pPr>
        <w:pStyle w:val="ListNumber"/>
        <w:spacing w:line="240" w:lineRule="auto"/>
        <w:ind w:left="720"/>
      </w:pPr>
      <w:r/>
      <w:hyperlink r:id="rId11">
        <w:r>
          <w:rPr>
            <w:color w:val="0000EE"/>
            <w:u w:val="single"/>
          </w:rPr>
          <w:t>https://samp.ai/industries/</w:t>
        </w:r>
      </w:hyperlink>
      <w:r>
        <w:t xml:space="preserve"> - This URL corroborates Samp's focus on the process industry, particularly in water and energy sectors, and the challenges these industries face in maintaining accurate technical data.</w:t>
      </w:r>
      <w:r/>
    </w:p>
    <w:p>
      <w:pPr>
        <w:pStyle w:val="ListNumber"/>
        <w:spacing w:line="240" w:lineRule="auto"/>
        <w:ind w:left="720"/>
      </w:pPr>
      <w:r/>
      <w:hyperlink r:id="rId12">
        <w:r>
          <w:rPr>
            <w:color w:val="0000EE"/>
            <w:u w:val="single"/>
          </w:rPr>
          <w:t>https://theiam.org/events/creating-and-maintaining-a-strategic-asset-management-plan-samp/</w:t>
        </w:r>
      </w:hyperlink>
      <w:r>
        <w:t xml:space="preserve"> - This URL provides context on Strategic Asset Management Plans (SAMP), which are crucial for aligning organizational objectives with asset management capabilities, although it does not directly address Samp's AI solutions.</w:t>
      </w:r>
      <w:r/>
    </w:p>
    <w:p>
      <w:pPr>
        <w:pStyle w:val="ListNumber"/>
        <w:spacing w:line="240" w:lineRule="auto"/>
        <w:ind w:left="720"/>
      </w:pPr>
      <w:r/>
      <w:hyperlink r:id="rId9">
        <w:r>
          <w:rPr>
            <w:color w:val="0000EE"/>
            <w:u w:val="single"/>
          </w:rPr>
          <w:t>https://www.noahwire.com</w:t>
        </w:r>
      </w:hyperlink>
      <w:r>
        <w:t xml:space="preserve"> - This is the source of the original article discussing Samp's findings on technical documentation gaps in industrial facilities. However, it does not provide additional external validation.</w:t>
      </w:r>
      <w:r/>
    </w:p>
    <w:p>
      <w:pPr>
        <w:pStyle w:val="ListNumber"/>
        <w:spacing w:line="240" w:lineRule="auto"/>
        <w:ind w:left="720"/>
      </w:pPr>
      <w:r/>
      <w:hyperlink r:id="rId13">
        <w:r>
          <w:rPr>
            <w:color w:val="0000EE"/>
            <w:u w:val="single"/>
          </w:rPr>
          <w:t>https://www.vacourts.gov/courts/scv/rulesofcourt.pdf</w:t>
        </w:r>
      </w:hyperlink>
      <w:r>
        <w:t xml:space="preserve"> - This URL does not directly support the article's claims but provides legal context on documentation and evidence handling, which might be tangentially relevant to the importance of accurate documentation.</w:t>
      </w:r>
      <w:r/>
    </w:p>
    <w:p>
      <w:pPr>
        <w:pStyle w:val="ListNumber"/>
        <w:spacing w:line="240" w:lineRule="auto"/>
        <w:ind w:left="720"/>
      </w:pPr>
      <w:r/>
      <w:hyperlink r:id="rId14">
        <w:r>
          <w:rPr>
            <w:color w:val="0000EE"/>
            <w:u w:val="single"/>
          </w:rPr>
          <w:t>https://www.courts.michigan.gov/49008a/siteassets/publications/benchbooks/evidence/evidbb.pdf</w:t>
        </w:r>
      </w:hyperlink>
      <w:r>
        <w:t xml:space="preserve"> - Similar to the Virginia courts document, this Michigan evidence benchbook discusses the importance of accurate documentation and evidence handling in legal contexts, indirectly highlighting the broader implications of data integrity.</w:t>
      </w:r>
      <w:r/>
    </w:p>
    <w:p>
      <w:pPr>
        <w:pStyle w:val="ListNumber"/>
        <w:spacing w:line="240" w:lineRule="auto"/>
        <w:ind w:left="720"/>
      </w:pPr>
      <w:r/>
      <w:hyperlink r:id="rId15">
        <w:r>
          <w:rPr>
            <w:color w:val="0000EE"/>
            <w:u w:val="single"/>
          </w:rPr>
          <w:t>https://uktechnews.co.uk/2025/02/20/operating-blind-industrial-sites-face-up-to-30-gaps-in-infrastructure-data-reveals-samp/</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amp.ai/digital-twin-sustainment-the-elephant-in-the-room/" TargetMode="External"/><Relationship Id="rId11" Type="http://schemas.openxmlformats.org/officeDocument/2006/relationships/hyperlink" Target="https://samp.ai/industries/" TargetMode="External"/><Relationship Id="rId12" Type="http://schemas.openxmlformats.org/officeDocument/2006/relationships/hyperlink" Target="https://theiam.org/events/creating-and-maintaining-a-strategic-asset-management-plan-samp/" TargetMode="External"/><Relationship Id="rId13" Type="http://schemas.openxmlformats.org/officeDocument/2006/relationships/hyperlink" Target="https://www.vacourts.gov/courts/scv/rulesofcourt.pdf" TargetMode="External"/><Relationship Id="rId14" Type="http://schemas.openxmlformats.org/officeDocument/2006/relationships/hyperlink" Target="https://www.courts.michigan.gov/49008a/siteassets/publications/benchbooks/evidence/evidbb.pdf" TargetMode="External"/><Relationship Id="rId15" Type="http://schemas.openxmlformats.org/officeDocument/2006/relationships/hyperlink" Target="https://uktechnews.co.uk/2025/02/20/operating-blind-industrial-sites-face-up-to-30-gaps-in-infrastructure-data-reveals-sam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