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ESG data management for corporate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Corporate decision-making is increasingly entwined with Environmental, Social, and Governance (ESG) criteria amid rising demands for transparency and accountability from investors, consumers, and regulators. The UK and EU are intensifying their ESG regulatory frameworks, exemplified by initiatives like the Task Force on Climate-related Financial Disclosures (TCFD), which underscore the critical need for robust data management. As organisations face the imminent risk of financial penalties, accusations of greenwashing, and potential reputational damage, adapting to these evolving requirements has become paramount.</w:t>
      </w:r>
      <w:r/>
    </w:p>
    <w:p>
      <w:r/>
      <w:r>
        <w:t>ESG strategies primarily rely on data-driven decision-making. Accurate and dependable data enable organisations to quantify their performance, benchmark against industry norms, and guide their decisions strategically. Establishing performance baselines through measurement and benchmarking is essential for tracking progress and ensuring accountability. Furthermore, regulatory compliance necessitates accurate disclosures, reinforcing adherence to ESG principles.</w:t>
      </w:r>
      <w:r/>
    </w:p>
    <w:p>
      <w:r/>
      <w:r>
        <w:t>A significant facet of ESG data management is its role in enhancing risk management. Early identification of potential risks—ranging from carbon emissions to supply chain ethics—can bolster investor confidence. Companies that present reliable ESG data are increasingly considered more attractive for sustainable investments. Acknowledging the distinct challenges various businesses face in ESG compliance, companies such as High Digital have initiated the creation of an ESG Hub, offering tailored, flexible solutions through a microservices-based architecture that can meet diverse organisational needs.</w:t>
      </w:r>
      <w:r/>
    </w:p>
    <w:p>
      <w:r/>
      <w:r>
        <w:t>Sustainability is central to an effective ESG strategy, with substantial emphasis on environmental data to realise sustainability objectives. Companies can utilise data to monitor their carbon footprints, calculate emissions, and track energy consumption and waste generation. By adopting renewable energy solutions driven by data insights, organisations can enhance their energy efficiency and minimize dependence on fossil fuels. Furthermore, ensuring transparency within supply chains while monitoring the ESG performance of suppliers bolsters ethical sourcing practices. An in-depth analysis of biodiversity and water usage permits firms to gauge their impact on both ecosystems and vital natural resources.</w:t>
      </w:r>
      <w:r/>
    </w:p>
    <w:p>
      <w:r/>
      <w:r>
        <w:t>Under the social dimensions of ESG, organisations are equipped to foster positive effects on their employees and broader communities. Companies can track Diversity, Equity, and Inclusion (DEI) metrics while also examining workforce demographics, such as pay disparities and inclusion initiatives. Data analysis can lead to improved employee well-being, through careful monitoring of retention rates, engagement levels, and mental health programmes. It is essential for organisations to uphold ethical labour practices by ensuring fair wages and responsible supply chains. Moreover, evaluating corporate social responsibility initiatives and their community impact helps align business efforts with societal expectations. High Digital’s ESG Hub enhances this capability by enabling organisations to define custom social metrics that resonate with their core values.</w:t>
      </w:r>
      <w:r/>
    </w:p>
    <w:p>
      <w:r/>
      <w:r>
        <w:t>Governance data is crucial in supporting transparency and accountability in ESG practices. Data-driven reporting can reinforce ethical standards regarding executive compensation, board diversity, and the decision-making process. Moreover, structured data management facilitates compliance with not only financial and legal obligations but also ESG-specific regulations.</w:t>
      </w:r>
      <w:r/>
    </w:p>
    <w:p>
      <w:r/>
      <w:r>
        <w:t>With the growing importance of cybersecurity and data ethics, businesses are under increasing pressure to safeguard consumer information, ensure responsible AI usage, and prevent fraudulent activities. High Digital’s approach enables organisations to tailor their governance reporting rather than conforming to a uniform framework, providing adaptability to unique corporate structures.</w:t>
      </w:r>
      <w:r/>
    </w:p>
    <w:p>
      <w:r/>
      <w:r>
        <w:t>However, managing ESG data is not without its challenges. Data fragmentation poses a significant issue, as information often resides in isolated systems, complicating integration efforts. Furthermore, the absence of standardisation across various ESG reporting frameworks—including GRI, SASB, and TCFD—hinders consistency and comparability. The potential for greenwashing arises when companies disseminate misleading information, thereby jeopardising the integrity of ESG credibility. Balancing data privacy and security with the need for transparency necessitates meticulous compliance with regulatory standards while upholding confidentiality. Unlike conventional SaaS models, High Digital’s ESG Hub offers an integrated approach that consolidates existing business systems, effectively addressing these prevalent challenges.</w:t>
      </w:r>
      <w:r/>
    </w:p>
    <w:p>
      <w:r/>
      <w:r>
        <w:t>Technological advancements are revolutionising the methods employed for the collection, analysis, and reporting of ESG data. Innovations in artificial intelligence and machine learning facilitate predictive analytics for assessing ESG risks and identifying sustainability trends. Blockchain technology contributes to transparency and trustworthiness in ESG reporting through the provision of immutable records, particularly in the context of supply chain management. Automation is streamlining ESG data collection and reporting, reducing manual labour and enhancing accuracy. The convergence of IoT and big data also allows for real-time monitoring of ESG metrics, enabling businesses to dynamically oversee their ESG performance.</w:t>
      </w:r>
      <w:r/>
    </w:p>
    <w:p>
      <w:r/>
      <w:r>
        <w:t>Organisations that successfully harness ESG data are positioned to gain a strategic advantage, thereby fortifying their sustainability and social responsibility initiatives. A data-driven approach to ESG can attract investors and bolster brand reputation, ultimately contributing to sustained business success. High Digital’s ESG Hub exemplifies how businesses can leverage a microservices model to devise customised ESG strategies rather than adhering to restrictive SaaS frameworks, highlighting the significance of ESG data as a vital resource for informed business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https://www.debevoise.com/insights/publications/2025/01/key-uk-esg-developments-for-asset-managers-in-2025</w:t>
        </w:r>
      </w:hyperlink>
      <w:r>
        <w:t xml:space="preserve"> - This article supports the claim that the UK is intensifying its ESG regulatory framework, particularly with initiatives like the UK Sustainability Reporting Standards, which are modelled on ISSB standards. It also highlights the importance of ESG data management for regulatory compliance and transparency.</w:t>
      </w:r>
      <w:r/>
    </w:p>
    <w:p>
      <w:pPr>
        <w:pStyle w:val="ListNumber"/>
        <w:spacing w:line="240" w:lineRule="auto"/>
        <w:ind w:left="720"/>
      </w:pPr>
      <w:r/>
      <w:hyperlink r:id="rId11">
        <w:r>
          <w:rPr>
            <w:color w:val="0000EE"/>
            <w:u w:val="single"/>
          </w:rPr>
          <w:t>https://www.osborneclarke.com/insights/regulatory-outlook-january-2025-environmental-social-governance</w:t>
        </w:r>
      </w:hyperlink>
      <w:r>
        <w:t xml:space="preserve"> - This regulatory outlook discusses the EU Deforestation Regulation and the UK's plans for Sustainability Reporting Standards, underscoring the evolving ESG landscape in both regions. It emphasizes the need for robust data management to comply with these regulations.</w:t>
      </w:r>
      <w:r/>
    </w:p>
    <w:p>
      <w:pPr>
        <w:pStyle w:val="ListNumber"/>
        <w:spacing w:line="240" w:lineRule="auto"/>
        <w:ind w:left="720"/>
      </w:pPr>
      <w:r/>
      <w:hyperlink r:id="rId12">
        <w:r>
          <w:rPr>
            <w:color w:val="0000EE"/>
            <w:u w:val="single"/>
          </w:rPr>
          <w:t>https://www.osborneclarke.com/insights/regulatory-outlook-February-2025-environmental-social-governance</w:t>
        </w:r>
      </w:hyperlink>
      <w:r>
        <w:t xml:space="preserve"> - This article highlights ongoing efforts to simplify ESG regulation in the EU and updates on extending the UK's Sustainable Disclosure Requirements, which align with the article's focus on ESG data management and regulatory compliance.</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This overview of the Privacy Act emphasizes the importance of data privacy and security, which is a challenge in managing ESG data. It highlights the need for careful handling of sensitive information to prevent unauthorized disclosures.</w:t>
      </w:r>
      <w:r/>
    </w:p>
    <w:p>
      <w:pPr>
        <w:pStyle w:val="ListNumber"/>
        <w:spacing w:line="240" w:lineRule="auto"/>
        <w:ind w:left="720"/>
      </w:pPr>
      <w:r/>
      <w:hyperlink r:id="rId14">
        <w:r>
          <w:rPr>
            <w:color w:val="0000EE"/>
            <w:u w:val="single"/>
          </w:rPr>
          <w:t>https://www.international-sustainability-standards.org/publications/2023/02/issb-2023-consultation-draft-ifrs-s1-and-ifrs-s2</w:t>
        </w:r>
      </w:hyperlink>
      <w:r>
        <w:t xml:space="preserve"> - This ISSB publication details the development of global sustainability reporting standards (IFRS S1 and S2), which are foundational to ESG data management and reporting. These standards support the article's discussion on the role of data in ESG strategies.</w:t>
      </w:r>
      <w:r/>
    </w:p>
    <w:p>
      <w:pPr>
        <w:pStyle w:val="ListNumber"/>
        <w:spacing w:line="240" w:lineRule="auto"/>
        <w:ind w:left="720"/>
      </w:pPr>
      <w:r/>
      <w:hyperlink r:id="rId15">
        <w:r>
          <w:rPr>
            <w:color w:val="0000EE"/>
            <w:u w:val="single"/>
          </w:rPr>
          <w:t>https://ec.europa.eu/info/law/better-regulation/have-your-say/initiatives/12964-Competitiveness-Compass_en</w:t>
        </w:r>
      </w:hyperlink>
      <w:r>
        <w:t xml:space="preserve"> - This European Commission initiative aims to simplify ESG regulation, which aligns with the article's emphasis on the evolving regulatory landscape and the need for efficient ESG data management to support compliance and transparency.</w:t>
      </w:r>
      <w:r/>
    </w:p>
    <w:p>
      <w:pPr>
        <w:pStyle w:val="ListNumber"/>
        <w:spacing w:line="240" w:lineRule="auto"/>
        <w:ind w:left="720"/>
      </w:pPr>
      <w:r/>
      <w:hyperlink r:id="rId16">
        <w:r>
          <w:rPr>
            <w:color w:val="0000EE"/>
            <w:u w:val="single"/>
          </w:rPr>
          <w:t>https://aijourn.com/the-power-of-data-in-esg/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bevoise.com/insights/publications/2025/01/key-uk-esg-developments-for-asset-managers-in-2025" TargetMode="External"/><Relationship Id="rId11" Type="http://schemas.openxmlformats.org/officeDocument/2006/relationships/hyperlink" Target="https://www.osborneclarke.com/insights/regulatory-outlook-january-2025-environmental-social-governance" TargetMode="External"/><Relationship Id="rId12" Type="http://schemas.openxmlformats.org/officeDocument/2006/relationships/hyperlink" Target="https://www.osborneclarke.com/insights/regulatory-outlook-February-2025-environmental-social-governance"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international-sustainability-standards.org/publications/2023/02/issb-2023-consultation-draft-ifrs-s1-and-ifrs-s2" TargetMode="External"/><Relationship Id="rId15" Type="http://schemas.openxmlformats.org/officeDocument/2006/relationships/hyperlink" Target="https://ec.europa.eu/info/law/better-regulation/have-your-say/initiatives/12964-Competitiveness-Compass_en" TargetMode="External"/><Relationship Id="rId16" Type="http://schemas.openxmlformats.org/officeDocument/2006/relationships/hyperlink" Target="https://aijourn.com/the-power-of-data-in-e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