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laboratories adapt to funding cuts by optimising procurement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National Institutes of Health (NIH), a pivotal entity in the realm of scientific funding, has recently proposed cuts to indirect costs associated with research. These costs, which encompass vital expenses such as lab maintenance and essential supplies, are foundational to the operational viability of research institutions. Although legal disputes have stalled the immediate implementation of these cuts, the uncertainty surrounding funding has prompted laboratories to explore effective strategies that will allow them to maintain the quality of their work while adjusting to a potentially reduced budget.</w:t>
      </w:r>
      <w:r/>
    </w:p>
    <w:p>
      <w:r/>
      <w:r>
        <w:t>In this evolving financial landscape, laboratories are increasingly recognising the importance of cost management in their operations. An effective strategy for extending budgetary resources is increasingly being focused on the procurement process for lab supplies. Many laboratories are discovering inefficiencies in their supply chains, often finding themselves overpaying for vital items, managing too many suppliers, or struggling with outdated procurement methods.</w:t>
      </w:r>
      <w:r/>
    </w:p>
    <w:p>
      <w:r/>
      <w:r>
        <w:t>One approach gaining traction is the consolidation of suppliers and utilisation of modern laboratory supply marketplaces, such as ZAGENO. These platforms offer centralised solutions that streamline procurement processes and provide access to a vast array of products from numerous suppliers. By allowing laboratories to compare prices and find the best deals, these platforms not only reduce administrative burdens but also help maintain the quality of supplies needed for research.</w:t>
      </w:r>
      <w:r/>
    </w:p>
    <w:p>
      <w:r/>
      <w:r>
        <w:t>Operational efficiency, a critical factor in navigating financial constraints, can be enhanced by working with robust suppliers. The ideal supplier will seamlessly integrate with existing laboratory systems—ranging from accounting software to electronic lab notebooks (ELNs)—minimising manual data entry and the potential for errors. ZAGENO, for instance, is noted for its compatibility with enterprise resource planning (ERP) systems, which can facilitate smoother operations.</w:t>
      </w:r>
      <w:r/>
    </w:p>
    <w:p>
      <w:r/>
      <w:r>
        <w:t>In addition to enhancing efficiency, it is essential for laboratories to have control over their spending. A trustworthy supplier should provide clear pricing structures devoid of hidden fees, honour pre-negotiated discounts, and ensure transparency. The ability to access real-time pricing updates and consolidated invoices has become essential as laboratories strive to simplify their budgeting processes and avert unforeseen expenses.</w:t>
      </w:r>
      <w:r/>
    </w:p>
    <w:p>
      <w:r/>
      <w:r>
        <w:t>Customer support remains a significant factor in supplier selection. Given the sometimes urgent timelines associated with research projects, laboratories require dependable suppliers that can address issues like backorders or shipping delays without compromising research outcomes. A responsive customer service structure and dedicated account management can significantly alleviate challenges faced in scientific procurement.</w:t>
      </w:r>
      <w:r/>
    </w:p>
    <w:p>
      <w:r/>
      <w:r>
        <w:t>As California's laboratories face the dual pressures of reduced funding and increased demand for efficiency, data-driven decision-making is emerging as a critical component for long-term sustainability. Suppliers providing advanced analytics tools can empower laboratories by helping them to monitor spending patterns, anticipate future requirements, and optimise procurement strategies. ZAGENO’s real-time dashboards are one example of how laboratories can closely track their budgets while ensuring compliance with regulatory standards.</w:t>
      </w:r>
      <w:r/>
    </w:p>
    <w:p>
      <w:r/>
      <w:r>
        <w:t>In summary, the ongoing shifts in funding dynamics necessitate that California’s laboratories be astute in their procurement choices. As they strive to maintain the quality of their research amidst fiscal uncertainties, partnering with innovative suppliers like ZAGENO is becoming a strategic necessity rather than a mere logistical choice. Within this context, the pursuit of efficiency and value in operational processes is now regarded as crucial to not only sustaining research but enhancing its impact on society at large.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https://academyhealth.org/blog/2025-02/academyhealth-situation-report-nih-abruptly-slashing-indirect-grants-what-means-researchers</w:t>
        </w:r>
      </w:hyperlink>
      <w:r>
        <w:t xml:space="preserve"> - This article corroborates the NIH's proposed cuts to indirect costs, explaining the impact on research institutions and the legal disputes surrounding the policy change.</w:t>
      </w:r>
      <w:r/>
    </w:p>
    <w:p>
      <w:pPr>
        <w:pStyle w:val="ListNumber"/>
        <w:spacing w:line="240" w:lineRule="auto"/>
        <w:ind w:left="720"/>
      </w:pPr>
      <w:r/>
      <w:hyperlink r:id="rId11">
        <w:r>
          <w:rPr>
            <w:color w:val="0000EE"/>
            <w:u w:val="single"/>
          </w:rPr>
          <w:t>https://www.lathamreg.com/2025/03/the-nih-funding-cuts-implications-and-status-of-lawsuits/</w:t>
        </w:r>
      </w:hyperlink>
      <w:r>
        <w:t xml:space="preserve"> - This post provides updates on the NIH funding cuts, including the legal challenges and implications for research institutions, where these cuts have been temporarily halted by a court order.</w:t>
      </w:r>
      <w:r/>
    </w:p>
    <w:p>
      <w:pPr>
        <w:pStyle w:val="ListNumber"/>
        <w:spacing w:line="240" w:lineRule="auto"/>
        <w:ind w:left="720"/>
      </w:pPr>
      <w:r/>
      <w:hyperlink r:id="rId12">
        <w:r>
          <w:rPr>
            <w:color w:val="0000EE"/>
            <w:u w:val="single"/>
          </w:rPr>
          <w:t>https://blog.implan.com/funding-cuts-2025</w:t>
        </w:r>
      </w:hyperlink>
      <w:r>
        <w:t xml:space="preserve"> - The article discusses the economic implications of the NIH's indirect costs cap, detailing how it could reduce research funding and impact jobs across the United States.</w:t>
      </w:r>
      <w:r/>
    </w:p>
    <w:p>
      <w:pPr>
        <w:pStyle w:val="ListNumber"/>
        <w:spacing w:line="240" w:lineRule="auto"/>
        <w:ind w:left="720"/>
      </w:pPr>
      <w:r/>
      <w:hyperlink r:id="rId13">
        <w:r>
          <w:rPr>
            <w:color w:val="0000EE"/>
            <w:u w:val="single"/>
          </w:rPr>
          <w:t>https://www.zageno.com</w:t>
        </w:r>
      </w:hyperlink>
      <w:r>
        <w:t xml:space="preserve"> - ZAGENO is a laboratory supply marketplace that offers solutions to streamline procurement processes, consistent with the article's discussion on efficient procurement strategies.</w:t>
      </w:r>
      <w:r/>
    </w:p>
    <w:p>
      <w:pPr>
        <w:pStyle w:val="ListNumber"/>
        <w:spacing w:line="240" w:lineRule="auto"/>
        <w:ind w:left="720"/>
      </w:pPr>
      <w:r/>
      <w:hyperlink r:id="rId9">
        <w:r>
          <w:rPr>
            <w:color w:val="0000EE"/>
            <w:u w:val="single"/>
          </w:rPr>
          <w:t>https://www.noahwire.com</w:t>
        </w:r>
      </w:hyperlink>
      <w:r>
        <w:t xml:space="preserve"> - This source, while not directly providing specific information on NIH funding or laboratory procurement strategies, could offer relevant news or insights on financial challenges faced by laboratories and innovative solutions they adopt.</w:t>
      </w:r>
      <w:r/>
    </w:p>
    <w:p>
      <w:pPr>
        <w:pStyle w:val="ListNumber"/>
        <w:spacing w:line="240" w:lineRule="auto"/>
        <w:ind w:left="720"/>
      </w:pPr>
      <w:r/>
      <w:hyperlink r:id="rId14">
        <w:r>
          <w:rPr>
            <w:color w:val="0000EE"/>
            <w:u w:val="single"/>
          </w:rPr>
          <w:t>https://www.nih.gov/news-events/news-releases</w:t>
        </w:r>
      </w:hyperlink>
      <w:r>
        <w:t xml:space="preserve"> - The NIH news releases page may provide official updates or statements regarding funding policies and changes affecting research institutions, aligning with the article's context on NIH policy changes.</w:t>
      </w:r>
      <w:r/>
    </w:p>
    <w:p>
      <w:pPr>
        <w:pStyle w:val="ListNumber"/>
        <w:spacing w:line="240" w:lineRule="auto"/>
        <w:ind w:left="720"/>
      </w:pPr>
      <w:r/>
      <w:hyperlink r:id="rId15">
        <w:r>
          <w:rPr>
            <w:color w:val="0000EE"/>
            <w:u w:val="single"/>
          </w:rPr>
          <w:t>https://calbizjournal.com/labs-around-california-seek-cost-savings-anywhere-they-can-find-it/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cademyhealth.org/blog/2025-02/academyhealth-situation-report-nih-abruptly-slashing-indirect-grants-what-means-researchers" TargetMode="External"/><Relationship Id="rId11" Type="http://schemas.openxmlformats.org/officeDocument/2006/relationships/hyperlink" Target="https://www.lathamreg.com/2025/03/the-nih-funding-cuts-implications-and-status-of-lawsuits/" TargetMode="External"/><Relationship Id="rId12" Type="http://schemas.openxmlformats.org/officeDocument/2006/relationships/hyperlink" Target="https://blog.implan.com/funding-cuts-2025" TargetMode="External"/><Relationship Id="rId13" Type="http://schemas.openxmlformats.org/officeDocument/2006/relationships/hyperlink" Target="https://www.zageno.com" TargetMode="External"/><Relationship Id="rId14" Type="http://schemas.openxmlformats.org/officeDocument/2006/relationships/hyperlink" Target="https://www.nih.gov/news-events/news-releases" TargetMode="External"/><Relationship Id="rId15" Type="http://schemas.openxmlformats.org/officeDocument/2006/relationships/hyperlink" Target="https://calbizjournal.com/labs-around-california-seek-cost-savings-anywhere-they-can-find-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