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firms embrace agile data and pricing to weather supply chain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Semiconductor manufacturers are currently navigating a turbulent landscape marked by market volatility, shifting trade policies, and heightened geopolitical tensions. The recent Model N 2025 State of Revenue Report underscores that supply chain uncertainty remains a crucial factor affecting high-tech revenue management. This situation compels chipmakers to reassess their traditional approaches to contracts, pricing, and forecasting, necessitating a shift towards robust data management and integrated analytics.</w:t>
      </w:r>
      <w:r/>
    </w:p>
    <w:p>
      <w:r/>
      <w:r>
        <w:t>In this volatile environment, the need for comprehensive supply chain transparency has become paramount. Manufacturers must have a clear understanding of their sourcing channels and distribution pathways to mitigate risks associated with regulatory violations, unexpected pricing impacts, and unauthorized sales. By leveraging comprehensive channel data, semiconductor companies can identify vulnerabilities within their supply chains, fostering more proactive risk management strategies. For instance, a manufacturer observed an unusual spike in orders from a low-volume reseller in Southeast Asia—upon further investigation, it turned out the products were destined for a flagged entity, leading to the necessary intervention to halt shipments.</w:t>
      </w:r>
      <w:r/>
    </w:p>
    <w:p>
      <w:r/>
      <w:r>
        <w:t>Moreover, the evolving nature of trade policies requires a departure from rigid pricing structures. Many semiconductor manufacturers traditionally rely on multi-year, fixed-price contracts, which present significant risks as material costs fluctuate. To remain competitive, chipmakers must develop agile pricing strategies, utilising real-time data to make informed decisions that reflect the constantly changing market conditions. This necessitates a move toward contingency-based contracts, which incorporate flexible pricing clauses and performance-based incentives to mitigate financial exposure.</w:t>
      </w:r>
      <w:r/>
    </w:p>
    <w:p>
      <w:r/>
      <w:r>
        <w:t>Amid these developments, data integrity plays a vital role in ensuring operational agility. Findings from the Model N survey reveal that over 90% of executives are concerned about the quality of their revenue data, citing issues such as inaccuracies and outdated information as critical challenges. Inaccurate data can lead to severe operational inefficiencies, affecting pricing, compliance, and ultimately, profit margins. Chipmakers must prioritise investments in data integration and standardisation to achieve consistency across various applications and departments, thereby enabling teams to leverage accurate information for informed decision-making.</w:t>
      </w:r>
      <w:r/>
    </w:p>
    <w:p>
      <w:r/>
      <w:r>
        <w:t>Emerging technologies, particularly artificial intelligence (AI), are proving beneficial for enhancing data accuracy and operational efficiency. AI can automate tasks such as data standardisation and error detection, enabling organisations to maintain the integrity of their channel sales data. With clean, reliable data at their disposal, chipmakers can harness AI-driven analytics to enhance various aspects of their operations. From optimising demand forecasts to simulating potential trade policy changes, these technologies empower manufacturers to devise responsive strategies that align with real-time market dynamics.</w:t>
      </w:r>
      <w:r/>
    </w:p>
    <w:p>
      <w:r/>
      <w:r>
        <w:t>The semiconductor sector must also contend with multiple external threats, including natural disasters, cybersecurity risks, and the fallout from the COVID-19 pandemic. Geopolitical tensions, particularly the ongoing trade disputes exemplified by the US-China trade war, are reshaping the landscape for semiconductor firms, leading to delays and increased costs for essential components. Manufacturers are thus urged to diversify their supplier networks and enhance their logistical frameworks to foster greater resilience against sudden disruptions.</w:t>
      </w:r>
      <w:r/>
    </w:p>
    <w:p>
      <w:r/>
      <w:r>
        <w:t>Despite these challenges, some companies are making strides in innovation. For example, companies like SMIC are investing significant capital in expanding production capabilities despite ongoing issues related to equipment maintenance and external constraints on servicing advanced tools. While setbacks are notable, SMIC recorded a modest revenue growth in the first quarter of the year, highlighting potential resilience in an otherwise precarious environment.</w:t>
      </w:r>
      <w:r/>
    </w:p>
    <w:p>
      <w:r/>
      <w:r>
        <w:t>Looking forward, the semiconductor market's future largely hinges on the ability of manufacturers to navigate its inherent complexities. High-quality data, adaptable contractual frameworks, and advanced technological integration will be instrumental in mitigating risks and identifying new opportunities. As manufacturers work to enhance revenue management practices and supply chain transparency, they are likely to emerge from this instability stronger and more agile, equipped to face whatever challenges the future may hold.</w:t>
      </w:r>
      <w:r/>
    </w:p>
    <w:p>
      <w:pPr>
        <w:pBdr>
          <w:bottom w:val="single" w:sz="6" w:space="1" w:color="auto"/>
        </w:pBdr>
      </w:pPr>
      <w:r/>
    </w:p>
    <w:p>
      <w:pPr>
        <w:pStyle w:val="Heading3"/>
      </w:pPr>
      <w:r>
        <w:t>Reference Map</w:t>
      </w:r>
      <w:r/>
      <w:r/>
    </w:p>
    <w:p>
      <w:pPr>
        <w:pStyle w:val="ListBullet"/>
        <w:spacing w:line="240" w:lineRule="auto"/>
        <w:ind w:left="720"/>
      </w:pPr>
      <w:r/>
      <w:r>
        <w:t>Paragraph 1: (1)</w:t>
      </w:r>
      <w:r/>
    </w:p>
    <w:p>
      <w:pPr>
        <w:pStyle w:val="ListBullet"/>
        <w:spacing w:line="240" w:lineRule="auto"/>
        <w:ind w:left="720"/>
      </w:pPr>
      <w:r/>
      <w:r>
        <w:t>Paragraph 2: (1), (6)</w:t>
      </w:r>
      <w:r/>
    </w:p>
    <w:p>
      <w:pPr>
        <w:pStyle w:val="ListBullet"/>
        <w:spacing w:line="240" w:lineRule="auto"/>
        <w:ind w:left="720"/>
      </w:pPr>
      <w:r/>
      <w:r>
        <w:t>Paragraph 3: (1), (5)</w:t>
      </w:r>
      <w:r/>
    </w:p>
    <w:p>
      <w:pPr>
        <w:pStyle w:val="ListBullet"/>
        <w:spacing w:line="240" w:lineRule="auto"/>
        <w:ind w:left="720"/>
      </w:pPr>
      <w:r/>
      <w:r>
        <w:t>Paragraph 4: (1), (2)</w:t>
      </w:r>
      <w:r/>
    </w:p>
    <w:p>
      <w:pPr>
        <w:pStyle w:val="ListBullet"/>
        <w:spacing w:line="240" w:lineRule="auto"/>
        <w:ind w:left="720"/>
      </w:pPr>
      <w:r/>
      <w:r>
        <w:t>Paragraph 5: (1), (7)</w:t>
      </w:r>
      <w:r/>
    </w:p>
    <w:p>
      <w:pPr>
        <w:pStyle w:val="ListBullet"/>
        <w:spacing w:line="240" w:lineRule="auto"/>
        <w:ind w:left="720"/>
      </w:pPr>
      <w:r/>
      <w:r>
        <w:t>Paragraph 6: (3), (4)</w:t>
      </w:r>
      <w:r/>
    </w:p>
    <w:p>
      <w:pPr>
        <w:pStyle w:val="ListBullet"/>
        <w:spacing w:line="240" w:lineRule="auto"/>
        <w:ind w:left="720"/>
      </w:pPr>
      <w:r/>
      <w:r>
        <w:t>Paragraph 7: (2), (5)</w:t>
      </w:r>
      <w:r/>
    </w:p>
    <w:p>
      <w:pPr>
        <w:pStyle w:val="ListBullet"/>
        <w:spacing w:line="240" w:lineRule="auto"/>
        <w:ind w:left="720"/>
      </w:pPr>
      <w:r/>
      <w:r>
        <w:t>Paragraph 8: (1), (3), (6)</w:t>
      </w:r>
      <w:r/>
    </w:p>
    <w:p>
      <w:pPr>
        <w:pStyle w:val="ListBullet"/>
        <w:spacing w:line="240" w:lineRule="auto"/>
        <w:ind w:left="720"/>
      </w:pPr>
      <w:r/>
      <w:r>
        <w:t>Paragraph 9: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https://www.sdcexec.com/sourcing-procurement/sourcing-solutions/article/22938747/model-n-why-market-volatility-makes-data-a-top-priority</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https://www.tomshardware.com/tech-industry/semiconductors/smic-faces-chip-yield-woes-as-equipment-maintenance-and-validation-efforts-stall</w:t>
        </w:r>
      </w:hyperlink>
      <w:r>
        <w:t xml:space="preserve"> - China's leading semiconductor manufacturer, SMIC, is facing significant production setbacks due to issues during equipment maintenance and the installation and validation of new machinery. These problems, which began in the first quarter of 2025, have caused a decline in chip yields and are projected to reduce second-quarter revenue by up to 6%. The challenges stem partly from U.S. restrictions that prevent American equipment vendors from servicing advanced tools in China, forcing SMIC’s unqualified engineers to carry out sensitive procedures. Additionally, expedited tool deliveries without thorough pre-shipment testing have led to functionality issues. As a result, SMIC had to divert up to $75 million from its R&amp;D budget to resolve these problems, reducing first-quarter R&amp;D spending to $150 million. Despite these issues, SMIC posted a modest 1.8% revenue growth in Q1 to $2.247 billion, driven by increased wafer sales and improved factory utilization. The company maintains that tariff impacts remain minimal and is actively coordinating with partners to manage trade risks. Capital expenditures for 2025 are projected at $7.5 billion to expand production capabilities.</w:t>
      </w:r>
      <w:r/>
    </w:p>
    <w:p>
      <w:pPr>
        <w:pStyle w:val="ListNumber"/>
        <w:spacing w:line="240" w:lineRule="auto"/>
        <w:ind w:left="720"/>
      </w:pPr>
      <w:r/>
      <w:hyperlink r:id="rId12">
        <w:r>
          <w:rPr>
            <w:color w:val="0000EE"/>
            <w:u w:val="single"/>
          </w:rPr>
          <w:t>https://procurementpro.com/9-key-threats-to-the-semiconductor-supply-chain/</w:t>
        </w:r>
      </w:hyperlink>
      <w:r>
        <w:t xml:space="preserve"> - The semiconductor supply chain faces several significant threats, including geopolitical tensions, natural disasters, supply chain bottlenecks, dependence on a limited number of suppliers, technological complexity, cybersecurity threats, economic and market fluctuations, raw material scarcity, and regulatory and compliance challenges. Geopolitical tensions, such as trade disputes and export restrictions, can hinder the flow of essential materials and technologies. Natural disasters and climate change can damage fabrication plants and interrupt production. Supply chain bottlenecks, dependence on a few key suppliers, and technological complexity can delay production and lead to supply shortages. Cybersecurity threats, economic fluctuations, raw material scarcity, and regulatory challenges further complicate the supply chain. To mitigate these threats, companies and governments are taking steps to enhance the resilience of the semiconductor supply chain, including diversifying the supplier base, increasing investments in domestic semiconductor manufacturing, and developing more sustainable and secure sourcing practices.</w:t>
      </w:r>
      <w:r/>
    </w:p>
    <w:p>
      <w:pPr>
        <w:pStyle w:val="ListNumber"/>
        <w:spacing w:line="240" w:lineRule="auto"/>
        <w:ind w:left="720"/>
      </w:pPr>
      <w:r/>
      <w:hyperlink r:id="rId13">
        <w:r>
          <w:rPr>
            <w:color w:val="0000EE"/>
            <w:u w:val="single"/>
          </w:rPr>
          <w:t>https://www.jusdaglobal.com/en/article/global-impacts-on-the-semiconductor-supply-chain/</w:t>
        </w:r>
      </w:hyperlink>
      <w:r>
        <w:t xml:space="preserve"> - The semiconductor supply chain is significantly impacted by global disruptions and challenges, including geopolitical tensions, trade wars, export controls, and the COVID-19 pandemic. Trade wars, such as the US-China trade war, have led to tariffs on semiconductor components, increasing costs for manufacturers. Export controls restrict the flow of critical technologies, forcing companies to find new markets or adjust production strategies. The COVID-19 pandemic caused production halts and supply chain bottlenecks due to lockdowns, health restrictions, and logistical challenges. Companies have responded by diversifying supply sources, increasing investments in domestic production capabilities, and seeking partnerships with suppliers in regions less affected by trade tensions to enhance the resilience of the semiconductor supply chain.</w:t>
      </w:r>
      <w:r/>
    </w:p>
    <w:p>
      <w:pPr>
        <w:pStyle w:val="ListNumber"/>
        <w:spacing w:line="240" w:lineRule="auto"/>
        <w:ind w:left="720"/>
      </w:pPr>
      <w:r/>
      <w:hyperlink r:id="rId14">
        <w:r>
          <w:rPr>
            <w:color w:val="0000EE"/>
            <w:u w:val="single"/>
          </w:rPr>
          <w:t>https://www.sdcexec.com/sourcing-procurement/article/22249403/jabil-inc-commodity-shortages-through-market-volatility-and-geopolitical-risks</w:t>
        </w:r>
      </w:hyperlink>
      <w:r>
        <w:t xml:space="preserve"> - Jabil Inc. forecasts significant supply challenges in the semiconductor industry, with many product families experiencing lead times of 40+ weeks, and some suppliers quoting 64-week lead times. Suppliers across many commodities continue to end-of-life legacy product families and are investing in newer, more profitable technologies. Raw materials, such as gold, zinc, nickel, copper, and aluminum, are experiencing immediate price impacts due to the conflict in Ukraine, which is rich in these materials. Neon gas, critical for semiconductor manufacturing, is primarily supplied from Ukraine. While most integrated device manufacturers and foundries have up to a year's worth of inventory, continued supply disruptions could become problematic in the months ahead, especially with current elevated demand.</w:t>
      </w:r>
      <w:r/>
    </w:p>
    <w:p>
      <w:pPr>
        <w:pStyle w:val="ListNumber"/>
        <w:spacing w:line="240" w:lineRule="auto"/>
        <w:ind w:left="720"/>
      </w:pPr>
      <w:r/>
      <w:hyperlink r:id="rId15">
        <w:r>
          <w:rPr>
            <w:color w:val="0000EE"/>
            <w:u w:val="single"/>
          </w:rPr>
          <w:t>https://www.jusdaglobal.com/en/article/resilient-semiconductor-manufacturing-chain/</w:t>
        </w:r>
      </w:hyperlink>
      <w:r>
        <w:t xml:space="preserve"> - Building a resilient semiconductor supply chain involves diversifying the supplier base to mitigate supply chain issues. Overreliance on a single supplier or region creates significant vulnerabilities, as demonstrated by natural disasters and geopolitical tensions disrupting production. To mitigate these risks, companies should evaluate their supplier networks and establish relationships with multiple suppliers to reduce the likelihood of production halts caused by unforeseen events. Additionally, integrating blockchain technology into the manufacturing chain can enhance transparency, traceability, and security, ensuring that all parties have access to accurate information and protecting sensitive data from cyber threats.</w:t>
      </w:r>
      <w:r/>
    </w:p>
    <w:p>
      <w:pPr>
        <w:pStyle w:val="ListNumber"/>
        <w:spacing w:line="240" w:lineRule="auto"/>
        <w:ind w:left="720"/>
      </w:pPr>
      <w:r/>
      <w:hyperlink r:id="rId16">
        <w:r>
          <w:rPr>
            <w:color w:val="0000EE"/>
            <w:u w:val="single"/>
          </w:rPr>
          <w:t>https://link.springer.com/article/10.1007/s11227-023-05543-2</w:t>
        </w:r>
      </w:hyperlink>
      <w:r>
        <w:t xml:space="preserve"> - Public blockchains (PB) can mitigate disruptions in the semiconductor supply chain by providing decentralization, data synchronization, and transparency. PB distributes power without central authority, ensuring equal access and preventing any single party from controlling data, thereby improving trust and fairness in the supply chain ecosystem. PB allows supply chain data synchronization, ensuring data consistency among participants and reducing demand forecast inconsistencies. Additionally, PB's openness improves supply chain traceability and visibility by tracking every transaction and product movement, providing a complete audit trail that helps identify fluctuations, highlight inefficiencies, and address the bullwhip effect.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urcing-procurement/sourcing-solutions/article/22938747/model-n-why-market-volatility-makes-data-a-top-priority" TargetMode="External"/><Relationship Id="rId11" Type="http://schemas.openxmlformats.org/officeDocument/2006/relationships/hyperlink" Target="https://www.tomshardware.com/tech-industry/semiconductors/smic-faces-chip-yield-woes-as-equipment-maintenance-and-validation-efforts-stall" TargetMode="External"/><Relationship Id="rId12" Type="http://schemas.openxmlformats.org/officeDocument/2006/relationships/hyperlink" Target="https://procurementpro.com/9-key-threats-to-the-semiconductor-supply-chain/" TargetMode="External"/><Relationship Id="rId13" Type="http://schemas.openxmlformats.org/officeDocument/2006/relationships/hyperlink" Target="https://www.jusdaglobal.com/en/article/global-impacts-on-the-semiconductor-supply-chain/" TargetMode="External"/><Relationship Id="rId14" Type="http://schemas.openxmlformats.org/officeDocument/2006/relationships/hyperlink" Target="https://www.sdcexec.com/sourcing-procurement/article/22249403/jabil-inc-commodity-shortages-through-market-volatility-and-geopolitical-risks" TargetMode="External"/><Relationship Id="rId15" Type="http://schemas.openxmlformats.org/officeDocument/2006/relationships/hyperlink" Target="https://www.jusdaglobal.com/en/article/resilient-semiconductor-manufacturing-chain/" TargetMode="External"/><Relationship Id="rId16" Type="http://schemas.openxmlformats.org/officeDocument/2006/relationships/hyperlink" Target="https://link.springer.com/article/10.1007/s11227-023-0554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