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Sponsors urged to treat CROs as strategic partners to speed and de‑risk trials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 many sponsors, outsourcing parts of clinical development has long been treated as a procurement exercise: select a contract research organisation or functional service provider on price and capability, hand over a scope of work and expect delivery. But that transactional mindset can leave value on the table. A recent blog by Advanced Clinical argues that treating a CRO or FSP as a “partner” rather than a supplier—embedding them early, aligning cultures and metrics, and giving them licence to contribute strategically—unlocks faster, safer and more predictable trials. That claim sits squarely within a growing consensus among regulators, industry consortia and consulting firms that the highest returns come from deeper, data‑driven collaboration.</w:t>
      </w:r>
      <w:r/>
    </w:p>
    <w:p>
      <w:r/>
      <w:r>
        <w:t>Reframing monitoring and oversight Regulators have been explicit that smarter oversight is not optional. The FDA’s guidance on risk‑based monitoring urges sponsors to focus monitoring resources on what matters most for participant safety and data integrity, combining centralised analytics with targeted on‑site visits. That approach reduces low‑value activities and makes monitoring more efficient when it is aligned to study‑specific risks. TransCelerate’s risk‑based monitoring initiative bolsters that view by offering practical methodology and tools for shifting away from exhaustive source‑data verification toward analytics and targeted interventions, with the promise of earlier issue detection and lower cost.</w:t>
      </w:r>
      <w:r/>
    </w:p>
    <w:p>
      <w:r/>
      <w:r>
        <w:t>Taken together, these guidance documents change the nature of the sponsor–provider relationship. Monitoring is no longer a rote checklist but an opportunity for the clinical research associate to act as an extension of the sponsor team: to feed back site realities, surface emerging risks and recommend centralised or hybrid models based on performance trends. The result is not simply compliance; it is faster, more informed decision‑making across a programme.</w:t>
      </w:r>
      <w:r/>
    </w:p>
    <w:p>
      <w:r/>
      <w:r>
        <w:t>Engage earlier to avoid late, costly fixes Industry commentators have repeatedly urged sponsors to involve CROs earlier in development. Applied Clinical Trials, for example, argues that early CRO engagement during protocol design and feasibility assessment reduces amendments, improves enrolment projections and shortens start‑up timelines. Practical examples show that modest investments in pre‑study alignment—feasibility assessments informed by a partner’s local site knowledge, simplified protocol elements and realistic recruitment plans—pay dividends once the trial is live. Advanced Clinical’s position that partners should “sit at the table” during protocol development follows this playbook; the difference for sponsors is that early, consultative engagement shifts cost and schedule risk left, where it is easier and cheaper to mitigate.</w:t>
      </w:r>
      <w:r/>
    </w:p>
    <w:p>
      <w:r/>
      <w:r>
        <w:t>Monitors as relationship builders Operational success often turns on site performance. ACRP guidance describes how monitors can build trust with investigational sites through clear communication, availability and preparedness. When CRAs behave as advocates for sites—bringing site challenges to the sponsor and helping to resolve them—protocol compliance, recruitment and retention improve. That human dimension is the simplest and most overlooked form of partnership: a monitor who understands a site’s constraints and communicates them effectively to the sponsor converts execution into continuous improvement.</w:t>
      </w:r>
      <w:r/>
    </w:p>
    <w:p>
      <w:r/>
      <w:r>
        <w:t>Data, visibility and the outsourced ecosystem Outsourcing creates a visibility challenge: multiple vendors, disparate reporting cadences and heterogenous data formats make sponsor oversight more difficult. IQVIA highlights that sponsors retain ultimate responsibility under ICH E6 and benefit from consolidated analytics platforms that normalise multi‑vendor data into actionable dashboards. Such platforms reduce the time spent aggregating data and allow sponsors and partners to focus on risk management and strategic decisions. In practice, a partner that offers integrated analytics and standardised reporting helps convert operational execution into predictable outcomes.</w:t>
      </w:r>
      <w:r/>
    </w:p>
    <w:p>
      <w:r/>
      <w:r>
        <w:t>From transactional suppliers to strategic partners Consultancies such as McKinsey have argued that supplier relationships in pharma should be categorised—transactional for commodity services, strategic for suppliers that deliver innovation and productivity. They recommend shared vision, aligned incentives, joint governance and clear KPIs for strategic partnerships. This is consistent with the argument Advanced Clinical makes: long‑term relationships create institutional memory, streamline processes and reduce the friction of “starting from scratch” for each programme. Where sponsors and providers establish transparent governance, co‑develop KPIs (for example, enrolment diversity, retention, protocol deviations and on‑time database lock) and share performance data, both parties capture more value.</w:t>
      </w:r>
      <w:r/>
    </w:p>
    <w:p>
      <w:r/>
      <w:r>
        <w:t>Practical implications for sponsors This body of guidance and industry thinking suggests a practical checklist for sponsors who want a genuine partner rather than a vendor: - Involve preferred providers during protocol design and feasibility to capture operational reality up front.</w:t>
        <w:br/>
      </w:r>
      <w:r>
        <w:t>- Adopt risk‑based monitoring plans that combine centralised analytics and targeted on‑site work, as recommended by regulators and TransCelerate.</w:t>
        <w:br/>
      </w:r>
      <w:r>
        <w:t>- Build shared governance structures and KPIs to align incentives rather than relying solely on SOWs and SLAs.</w:t>
        <w:br/>
      </w:r>
      <w:r>
        <w:t>- Invest in data harmonisation tools or insist your partner provides consolidated dashboards to enable near‑real‑time oversight.</w:t>
        <w:br/>
      </w:r>
      <w:r>
        <w:t>- Treat CRAs as relationship builders: expect them to escalate site issues and propose mitigations, not just complete checklists.</w:t>
      </w:r>
      <w:r/>
    </w:p>
    <w:p>
      <w:r/>
      <w:r>
        <w:t>Maintain editorial distance but demand evidence It is reasonable to be sceptical of vendor marketing that promises transformative outcomes without operational detail. Advanced Clinical claims to combine global reach with “white glove” service and a consultative approach; sponsors should test those claims by asking for examples of where early engagement materially reduced amendments, anonymised metrics showing enrolment improvements, or case studies demonstrating successful hybrid monitoring strategies that complied with regulator expectations. Independent corroboration—whether from published case studies, client references or third‑party performance metrics—turns an assertion into a procurement decision.</w:t>
      </w:r>
      <w:r/>
    </w:p>
    <w:p>
      <w:r/>
      <w:r>
        <w:t>Conclusion The shift from transactional outsourcing to strategic partnership is not merely rhetorical. Regulatory guidance, industry consortia and consulting analyses all point towards the same playbook: embed providers early, apply risk‑proportionate monitoring, unify data streams and create joint governance. Sponsors that make the cultural and contractual shift will likely find trials that start faster, run cleaner and deliver results with less drama. Providers that want to be partners must be prepared to share data, accept shared accountability and demonstrate the operational impact of their advice—only then does partnership move from aspiration to measurable advantage.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https://blog.advancedclinical.com/beyond-service-the-power-of-true-partnership-in-clinical-study-outsourcing</w:t>
        </w:r>
      </w:hyperlink>
      <w:r>
        <w:t xml:space="preserve"> - Please view link - unable to able to access data</w:t>
      </w:r>
      <w:r/>
    </w:p>
    <w:p>
      <w:pPr>
        <w:pStyle w:val="ListNumber"/>
        <w:spacing w:line="240" w:lineRule="auto"/>
        <w:ind w:left="720"/>
      </w:pPr>
      <w:r/>
      <w:hyperlink r:id="rId11">
        <w:r>
          <w:rPr>
            <w:color w:val="0000EE"/>
            <w:u w:val="single"/>
          </w:rPr>
          <w:t>https://www.fda.gov/regulatory-information/search-fda-guidance-documents/oversight-clinical-investigations-risk-based-approach-monitoring</w:t>
        </w:r>
      </w:hyperlink>
      <w:r>
        <w:t xml:space="preserve"> - This FDA guidance, 'Oversight of Clinical Investigations — A Risk-Based Approach to Monitoring', advises sponsors to adopt risk-based monitoring strategies focusing on critical data and processes to protect participants and ensure data quality. It recommends centralised monitoring complemented by targeted on-site visits, development of monitoring and integrated quality management plans, and proportionate source data verification. The document emphasises sponsor responsibility for oversight, the need to identify study-specific risks, and to tailor monitoring intensity accordingly. By encouraging data-driven, analytical approaches and early planning, the guidance aims to improve efficiency, reduce unnecessary activities, and support regulatory-compliant trial conduct and safeguard public health.</w:t>
      </w:r>
      <w:r/>
    </w:p>
    <w:p>
      <w:pPr>
        <w:pStyle w:val="ListNumber"/>
        <w:spacing w:line="240" w:lineRule="auto"/>
        <w:ind w:left="720"/>
      </w:pPr>
      <w:r/>
      <w:hyperlink r:id="rId12">
        <w:r>
          <w:rPr>
            <w:color w:val="0000EE"/>
            <w:u w:val="single"/>
          </w:rPr>
          <w:t>https://www.transceleratebiopharmainc.com/initiatives/risk-based-monitoring/</w:t>
        </w:r>
      </w:hyperlink>
      <w:r>
        <w:t xml:space="preserve"> - TransCelerate’s Risk-Based Monitoring initiative provides model methodology and tools to help organisations implement targeted, centralised and off-site monitoring in clinical trials. It explains the rationale for shifting from exhaustive source-data verification towards focus on critical data and processes, offering materials such as methodology papers, training and implementation guides. The initiative highlights benefits including earlier detection of issues, improved patient safety, reduced low-value activities, cost efficiencies and enhanced cross-functional collaboration. Designed to be adaptable across sponsor sizes and trial phases, TransCelerate promotes the adoption of analytics and technology to enable scalable, risk-proportionate monitoring aligned with regulatory expectations and operational realities worldwide.</w:t>
      </w:r>
      <w:r/>
    </w:p>
    <w:p>
      <w:pPr>
        <w:pStyle w:val="ListNumber"/>
        <w:spacing w:line="240" w:lineRule="auto"/>
        <w:ind w:left="720"/>
      </w:pPr>
      <w:r/>
      <w:hyperlink r:id="rId13">
        <w:r>
          <w:rPr>
            <w:color w:val="0000EE"/>
            <w:u w:val="single"/>
          </w:rPr>
          <w:t>https://www.appliedclinicaltrialsonline.com/view/sponsors-engage-your-cro-early-and-often</w:t>
        </w:r>
      </w:hyperlink>
      <w:r>
        <w:t xml:space="preserve"> - This Applied Clinical Trials article argues sponsors should engage CROs early, ideally during protocol development, to harness CRO expertise in feasibility, site management and budgeting. Early collaboration fosters better communication, realistic expectations, ownership and accountability, which can reduce costly amendments, improve enrolment and speed study start-up. The piece shares examples where early CRO involvement led to more feasible protocols and adherence to objectives, and highlights the CROs’ operational knowledge of sites and therapeutic areas. It recommends building trust, valuing CRO input and establishing dialogue to align timelines, resources and performance metrics, transforming vendors into strategic partners rather than transactional suppliers.</w:t>
      </w:r>
      <w:r/>
    </w:p>
    <w:p>
      <w:pPr>
        <w:pStyle w:val="ListNumber"/>
        <w:spacing w:line="240" w:lineRule="auto"/>
        <w:ind w:left="720"/>
      </w:pPr>
      <w:r/>
      <w:hyperlink r:id="rId14">
        <w:r>
          <w:rPr>
            <w:color w:val="0000EE"/>
            <w:u w:val="single"/>
          </w:rPr>
          <w:t>https://acrpnet.org/2024/04/12/the-art-of-investigational-site-relationships-with-sponsors-cros</w:t>
        </w:r>
      </w:hyperlink>
      <w:r>
        <w:t xml:space="preserve"> - This ACRP article outlines how monitors and sponsor representatives should cultivate professional, respectful and transparent relationships with investigational sites. It emphasises the importance of personal introductions, clear communication, availability, and preparedness to build trust and facilitate collaboration. Monitors should act as advocates for sites within sponsor teams, provide timely feedback, and align expectations to reduce misunderstandings. The guidance notes that strong site-monitor relationships improve protocol compliance, data quality and problem resolution, while fostering mutual accountability. Ultimately, when CRAs behave as engaged partners rather than checklist visitors, sites are more likely to perform efficiently, improving enrolment, retention and overall trial success.</w:t>
      </w:r>
      <w:r/>
    </w:p>
    <w:p>
      <w:pPr>
        <w:pStyle w:val="ListNumber"/>
        <w:spacing w:line="240" w:lineRule="auto"/>
        <w:ind w:left="720"/>
      </w:pPr>
      <w:r/>
      <w:hyperlink r:id="rId15">
        <w:r>
          <w:rPr>
            <w:color w:val="0000EE"/>
            <w:u w:val="single"/>
          </w:rPr>
          <w:t>https://www.mckinsey.com/industries/life-sciences/our-insights/building-a-shared-vision-for-pharma-r-and-d-supplier-partnerships</w:t>
        </w:r>
      </w:hyperlink>
      <w:r>
        <w:t xml:space="preserve"> - McKinsey’s article presents a framework for maturing pharma–supplier relationships, advocating strategic, innovation and productivity partnership archetypes rather than purely transactional arrangements. It highlights the need for shared vision, aligned incentives and transparent governance to unlock efficiency and innovation. The article reports CRO/CDMO spend growth and suggests establishing joint governance, clear KPIs, and integrated planning to capture value from long-term collaborations. It recommends treating certain suppliers as strategic partners with deeper integration, including co‑development, risk sharing and alignment with leadership, to drive speed, cost reductions and better outcomes across R&amp;D while ensuring suppliers act as trusted, insight-driven extensions of sponsor teams.</w:t>
      </w:r>
      <w:r/>
    </w:p>
    <w:p>
      <w:pPr>
        <w:pStyle w:val="ListNumber"/>
        <w:spacing w:line="240" w:lineRule="auto"/>
        <w:ind w:left="720"/>
      </w:pPr>
      <w:r/>
      <w:hyperlink r:id="rId16">
        <w:r>
          <w:rPr>
            <w:color w:val="0000EE"/>
            <w:u w:val="single"/>
          </w:rPr>
          <w:t>https://www.iqvia.com/blogs/2023/10/clinical-operations-oversight-in-an-outsourced-world</w:t>
        </w:r>
      </w:hyperlink>
      <w:r>
        <w:t xml:space="preserve"> - IQVIA’s blog discusses sponsor oversight challenges when clinical operations are outsourced, emphasising that sponsors retain ultimate responsibility under ICH E6. It highlights difficulties arising from disparate vendor reporting, varying data cadence and formats, and the need for harmonised, near-real-time data to enable actionable oversight. The post promotes analytic platforms that consolidate multi-vendor data into standardised dashboards, improving visibility, timeliness and decision-making. IQVIA argues that such solutions reduce the time needed for data aggregation, support regulatory-compliant oversight and allow sponsors to focus on risk management and strategic decisions while benefiting from outsourced operational execution and resilience and external partners’ specialised capabilities.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advancedclinical.com/beyond-service-the-power-of-true-partnership-in-clinical-study-outsourcing" TargetMode="External"/><Relationship Id="rId11" Type="http://schemas.openxmlformats.org/officeDocument/2006/relationships/hyperlink" Target="https://www.fda.gov/regulatory-information/search-fda-guidance-documents/oversight-clinical-investigations-risk-based-approach-monitoring" TargetMode="External"/><Relationship Id="rId12" Type="http://schemas.openxmlformats.org/officeDocument/2006/relationships/hyperlink" Target="https://www.transceleratebiopharmainc.com/initiatives/risk-based-monitoring/" TargetMode="External"/><Relationship Id="rId13" Type="http://schemas.openxmlformats.org/officeDocument/2006/relationships/hyperlink" Target="https://www.appliedclinicaltrialsonline.com/view/sponsors-engage-your-cro-early-and-often" TargetMode="External"/><Relationship Id="rId14" Type="http://schemas.openxmlformats.org/officeDocument/2006/relationships/hyperlink" Target="https://acrpnet.org/2024/04/12/the-art-of-investigational-site-relationships-with-sponsors-cros" TargetMode="External"/><Relationship Id="rId15" Type="http://schemas.openxmlformats.org/officeDocument/2006/relationships/hyperlink" Target="https://www.mckinsey.com/industries/life-sciences/our-insights/building-a-shared-vision-for-pharma-r-and-d-supplier-partnerships" TargetMode="External"/><Relationship Id="rId16" Type="http://schemas.openxmlformats.org/officeDocument/2006/relationships/hyperlink" Target="https://www.iqvia.com/blogs/2023/10/clinical-operations-oversight-in-an-outsourced-worl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