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Affiliate marketing faces a governance overhaul as incrementality and AI reshape payouts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Affiliate marketing is heading for a structural moment. What has long been a high‑leverage but lightly governed channel is being re‑wired by three converging forces: stronger privacy rules that hollow out third‑party signals, rapid advances in AI that enable both hyper‑personalisation and mass‑produced content, and a move from descriptive attribution to causal measurement of value. The original Scaleo analysis lays out this shift in operational terms — from last‑touch crediting and batch reports to real‑time decisioning, incrementality‑linked payouts and first‑party data alliances — and when set alongside industry research and technical guidance the scale of change becomes unmistakable.</w:t>
      </w:r>
      <w:r/>
    </w:p>
    <w:p>
      <w:r/>
      <w:r>
        <w:t>Affiliate marketing as a strategic channel Senior marketers are already behaving as if affiliate is core media. According to an Awin‑commissioned Forrester study, advertisers increasingly treat affiliate programmes as a high‑return channel for reach, retention and product adoption, and are planning to broaden investment into affiliate partnerships as measurement improves. That elevation means affiliates will be judged by the same ROI and governance standards as paid search or owned commerce channels — not by the historical assumption that affiliates are a “low‑touch” source of volume.</w:t>
      </w:r>
      <w:r/>
    </w:p>
    <w:p>
      <w:r/>
      <w:r>
        <w:t>AI: personalisation at scale — and the content risk The next wave of personalisation, fuelled by machine learning and generative AI, promises to make affiliate offers and landing experiences far more relevant. McKinsey’s analysis argues that predictive analytics, stronger customer data infrastructure and responsible use of generative tools can materially increase conversion and lifetime value when organisations invest in real‑time pipelines, design and measurement capabilities.</w:t>
      </w:r>
      <w:r/>
    </w:p>
    <w:p>
      <w:r/>
      <w:r>
        <w:t>But there is a countervailing pressure: search engines and platforms are tightening enforcement on low‑quality, mass‑produced content. Google’s updates in 2023–24 explicitly demote automated content that fails to meet a people‑first standard. The practical implication for programme managers is twofold: use AI to personalise and scale creative, but raise creative quality bars and add content‑fingerprinting and provenance checks into approval workflows so reward flows follow helpful, original material — otherwise placements may lose visibility or be disqualified for payment.</w:t>
      </w:r>
      <w:r/>
    </w:p>
    <w:p>
      <w:r/>
      <w:r>
        <w:t>Privacy, first‑party data and the cookieless reality The end of ubiquitous third‑party cookies is no longer hypothetical. Google’s Privacy Sandbox guidance set out a phased replacement of cross‑site identifiers with privacy‑preserving APIs and emphasised server‑side measurement and consented first‑party data as durable alternatives. This is exactly the direction Scaleo recommends: server‑side postbacks as the source‑of‑truth, deterministic ID stitching where possible, and consent frameworks that lawyers can defend.</w:t>
      </w:r>
      <w:r/>
    </w:p>
    <w:p>
      <w:r/>
      <w:r>
        <w:t>In practice, winning programmes will behave less like passive ad networks and more like data alliances: shared, permissioned signals that let brands evaluate partner traffic quality without leaking personal data. That work requires engineering time, productised consent flows and a rethink of what an affiliate “event” contains beyond a click or a sale.</w:t>
      </w:r>
      <w:r/>
    </w:p>
    <w:p>
      <w:r/>
      <w:r>
        <w:t>From last‑touch to incrementality as contract language Perhaps the most consequential change will be commercial. The academic literature and practitioner playbooks are aligning behind causal approaches to value. An influential body of work on incrementality — including academic treatments of uplift modelling and randomised holdouts — shows how measured lift should determine payment, preventing programmes from paying for conversions that would have happened anyway.</w:t>
      </w:r>
      <w:r/>
    </w:p>
    <w:p>
      <w:r/>
      <w:r>
        <w:t>Scaleo’s proposed hybrid model — a base CPA or RevShare with dynamic multipliers tied to uplift, retention and risk scores — is now feasible at scale. The necessary plumbing is straightforward in principle: short, rolling geo/time holdouts to establish benchmarks; an uplift model trained on those experiments; and a commission engine that reads lift and quality modifiers rather than raw last‑touch credit. The operational benefit is clearer economics and fewer disputes: when the multiplier is transparent and the route to a higher rate is visible, partner negotiations become constructive rather than reactive.</w:t>
      </w:r>
      <w:r/>
    </w:p>
    <w:p>
      <w:r/>
      <w:r>
        <w:t>Real‑time decisioning, governance and explainability The shift to incrementality and first‑party data goes hand in hand with faster decisions. Scaleo’s playbook calls for sub‑150ms decision APIs, an event stream for partner and player actions, and feature services that surface contextual signals (session fragmentation, loss‑velocity, league proximity). Those systems must be constrained by policy: offer caps, cooldowns and safer‑gambling overrides should be immutable guardrails the decision layer cannot break.</w:t>
      </w:r>
      <w:r/>
    </w:p>
    <w:p>
      <w:r/>
      <w:r>
        <w:t>Governance becomes a product. Decision logs, model versioning and human‑readable explanations — “flight recorders” for every automated action — turn automation from a legal risk into an auditable capability. This explainability also answers the practical problem of appeals: if an affiliate asks “why did my rate drop?”, the console can show the uplift measurement, the quality flags and the precise rule that applied.</w:t>
      </w:r>
      <w:r/>
    </w:p>
    <w:p>
      <w:r/>
      <w:r>
        <w:t>Fraud, risk and layered defences As incentives grow smarter, so too will fraud. SEON’s operational guidance underlines the threat picture: device farms, residential proxies, multi‑accounting and bonus‑cycling remain the dominant attack vectors. Defences that work combine device intelligence, behavioural anomaly detection, subID forensics and real‑time scoring with circuit breakers that throttle exposure automatically.</w:t>
      </w:r>
      <w:r/>
    </w:p>
    <w:p>
      <w:r/>
      <w:r>
        <w:t>Programme managers should integrate risk scores into payout logic and exposure caps (not simply into post‑hoc investigations). That reduces both losses and manual workload; crucially, transparent appeals with trace replays limit false positives and preserve partner trust.</w:t>
      </w:r>
      <w:r/>
    </w:p>
    <w:p>
      <w:r/>
      <w:r>
        <w:t>Blockchain and tokenisation: promise, not panacea Blockchain is often touted as a cure for tracking fraud and transparency. It can add tamper‑evident logs and enable tokenised rewards in niche use cases, but it is not a universal solution. Latency, privacy implications and integration complexity mean most mature programmes will adopt blockchain selectively — for audit trails or experimental token rewards — while relying on robust server‑side telemetry and identity hygiene for everyday operations.</w:t>
      </w:r>
      <w:r/>
    </w:p>
    <w:p>
      <w:r/>
      <w:r>
        <w:t>Practical next steps for programme leads The transformation is tactical as well as strategic. The immediate checklist looks like this:</w:t>
      </w:r>
      <w:r/>
      <w:r/>
    </w:p>
    <w:p>
      <w:pPr>
        <w:pStyle w:val="ListBullet"/>
        <w:spacing w:line="240" w:lineRule="auto"/>
        <w:ind w:left="720"/>
      </w:pPr>
      <w:r/>
      <w:r>
        <w:t xml:space="preserve">Harden measurement: stand up server‑side postbacks, publish non‑negotiable policy caps and start short geo/time holdouts to create a causal yardstick. </w:t>
      </w:r>
      <w:r/>
    </w:p>
    <w:p>
      <w:pPr>
        <w:pStyle w:val="ListBullet"/>
        <w:spacing w:line="240" w:lineRule="auto"/>
        <w:ind w:left="720"/>
      </w:pPr>
      <w:r/>
      <w:r>
        <w:t xml:space="preserve">Build explainability: ensure every automated decision includes model/version, inputs and a human‑readable reason for partners and compliance. </w:t>
      </w:r>
      <w:r/>
    </w:p>
    <w:p>
      <w:pPr>
        <w:pStyle w:val="ListBullet"/>
        <w:spacing w:line="240" w:lineRule="auto"/>
        <w:ind w:left="720"/>
      </w:pPr>
      <w:r/>
      <w:r>
        <w:t xml:space="preserve">Re‑architect payouts: pilot a hybrid CPA + lift multiplier with conservative knobs (±0.05) and a clear appeals path. Simulate finance impacts before activation. </w:t>
      </w:r>
      <w:r/>
    </w:p>
    <w:p>
      <w:pPr>
        <w:pStyle w:val="ListBullet"/>
        <w:spacing w:line="240" w:lineRule="auto"/>
        <w:ind w:left="720"/>
      </w:pPr>
      <w:r/>
      <w:r>
        <w:t xml:space="preserve">Raise creative standards: deploy a fingerprinting library, auto‑reject near‑duplicates, and make content quality a payment gate. </w:t>
      </w:r>
      <w:r/>
    </w:p>
    <w:p>
      <w:pPr>
        <w:pStyle w:val="ListBullet"/>
        <w:spacing w:line="240" w:lineRule="auto"/>
        <w:ind w:left="720"/>
      </w:pPr>
      <w:r/>
      <w:r>
        <w:t xml:space="preserve">Operationalise fraud defences: tie device/behavioural risk scores to exposure caps and automate reopenings when signals normalise. </w:t>
      </w:r>
      <w:r/>
    </w:p>
    <w:p>
      <w:pPr>
        <w:pStyle w:val="ListBullet"/>
        <w:spacing w:line="240" w:lineRule="auto"/>
        <w:ind w:left="720"/>
      </w:pPr>
      <w:r/>
      <w:r>
        <w:t>Communicate relentlessly: one‑page exec brief, finance simulators, AM scripts and a partner webinar — everyone must see the levers.</w:t>
      </w:r>
      <w:r/>
      <w:r/>
    </w:p>
    <w:p>
      <w:r/>
      <w:r>
        <w:t>What this means for partners and publishers In the short term, partners will feel pressure — more metrics to satisfy, fewer blank‑cheque payouts. In the medium term, transparency and stitched‑together data flows create predictable routes to higher reward for publishers who can demonstrate incremental value and healthy retention. That is an upgrade for serious affiliates and a natural sorting mechanism for programmes that want quality over volume.</w:t>
      </w:r>
      <w:r/>
    </w:p>
    <w:p>
      <w:r/>
      <w:r>
        <w:t>Conclusion Affiliate marketing in 2026 will look less like an untended funnel and more like a governed, data‑rich channel where payments follow proven causality, creative quality matters, and automation is auditable. The technical pieces already exist — from uplift modelling to privacy‑safe measurement APIs — but the work is organisational: build the data alliance, productise governance, automate circuit breakers and publish the maths. Do that, and the channel stops being a cost centre of surprises and becomes a scalable, trusted growth engine.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https://www.scaleo.io/blog/preparing-for-the-future-how-affiliate-marketing-will-change/</w:t>
        </w:r>
      </w:hyperlink>
      <w:r>
        <w:t xml:space="preserve"> - Please view link - unable to able to access data</w:t>
      </w:r>
      <w:r/>
    </w:p>
    <w:p>
      <w:pPr>
        <w:pStyle w:val="ListNumber"/>
        <w:spacing w:line="240" w:lineRule="auto"/>
        <w:ind w:left="720"/>
      </w:pPr>
      <w:r/>
      <w:hyperlink r:id="rId11">
        <w:r>
          <w:rPr>
            <w:color w:val="0000EE"/>
            <w:u w:val="single"/>
          </w:rPr>
          <w:t>https://www.awin.com/us/forrester-affiliate-investment-2024</w:t>
        </w:r>
      </w:hyperlink>
      <w:r>
        <w:t xml:space="preserve"> - Awin’s commissioned Forrester study explains why senior marketers increasingly treat affiliate marketing as a core, high‑return channel. The page summarises survey findings that place affiliate among the most effective channels, highlights its role for reach, retention and adopting new technologies, and describes advertisers’ plans to diversify spend into affiliate programmes. Key statistics show widespread belief in affiliate’s ability to drive measurable value and adapt to commerce and creator behaviours. The report emphasises attribution improvements, the rise of technology partners, and practical implications for programme managers seeking to scale partnerships while managing transparency, measurement and regulatory compliance across global markets today.</w:t>
      </w:r>
      <w:r/>
    </w:p>
    <w:p>
      <w:pPr>
        <w:pStyle w:val="ListNumber"/>
        <w:spacing w:line="240" w:lineRule="auto"/>
        <w:ind w:left="720"/>
      </w:pPr>
      <w:r/>
      <w:hyperlink r:id="rId12">
        <w:r>
          <w:rPr>
            <w:color w:val="0000EE"/>
            <w:u w:val="single"/>
          </w:rPr>
          <w:t>https://www.mckinsey.com/capabilities/growth-marketing-and-sales/our-insights/unlocking-the-next-frontier-of-personalized-marketing</w:t>
        </w:r>
      </w:hyperlink>
      <w:r>
        <w:t xml:space="preserve"> - McKinsey’s article outlines how AI and generative tools are enabling the next frontier of personalisation for retailers and brands. It argues that predictive analytics, improved customer data infrastructure and gen‑AI content generation let firms scale highly relevant experiences and targeted promotions. The piece highlights consumer expectations for tailored interactions, quantifies potential value from better personalisation, and recommends investing in data, decisioning, design and measurement capabilities. Practical advice includes building real‑time decisioning pipelines, improving first‑party data capture, and using AI responsibly to create authentic messages. The article frames personalisation as a strategic growth lever and priority.</w:t>
      </w:r>
      <w:r/>
    </w:p>
    <w:p>
      <w:pPr>
        <w:pStyle w:val="ListNumber"/>
        <w:spacing w:line="240" w:lineRule="auto"/>
        <w:ind w:left="720"/>
      </w:pPr>
      <w:r/>
      <w:hyperlink r:id="rId13">
        <w:r>
          <w:rPr>
            <w:color w:val="0000EE"/>
            <w:u w:val="single"/>
          </w:rPr>
          <w:t>https://developers.google.com/privacy-sandbox/blog/cookie-countdown-2023oct</w:t>
        </w:r>
      </w:hyperlink>
      <w:r>
        <w:t xml:space="preserve"> - Google’s Privacy Sandbox blog explains the transition away from third‑party cookies and the tools developers should use to adapt. It outlines the timeline for cookie deprecation testing, introduces privacy‑preserving APIs such as Topics, Protected Audience and Attribution Reporting, and gives concrete steps: audit cookie usage, test for breakage and migrate cross‑site functionality to supported APIs. The guidance stresses the importance of first‑party data, consent management and server‑side measurement as durable alternatives. Developers are urged to prepare for phased rollout by rebuilding measurement and targeting on privacy‑safe primitives, ensuring compatibility and resilience for advertising and analytics in a cookieless web ecosystem.</w:t>
      </w:r>
      <w:r/>
    </w:p>
    <w:p>
      <w:pPr>
        <w:pStyle w:val="ListNumber"/>
        <w:spacing w:line="240" w:lineRule="auto"/>
        <w:ind w:left="720"/>
      </w:pPr>
      <w:r/>
      <w:hyperlink r:id="rId14">
        <w:r>
          <w:rPr>
            <w:color w:val="0000EE"/>
            <w:u w:val="single"/>
          </w:rPr>
          <w:t>https://developers.google.com/search/blog/2024/03/core-update-spam-policies</w:t>
        </w:r>
      </w:hyperlink>
      <w:r>
        <w:t xml:space="preserve"> - Google’s March 2024 core update and new spam policies sharpen the search engine’s approach to low‑quality and automated content. The blog explains refreshed systems to demote scaled content abuse, expired domain misuse and reputation abuse, and reiterates that automation including generative AI is acceptable only when content remains helpful and people‑first. Creators are advised to focus on expertise, experience, authoritativeness and trustworthiness, and to avoid mass‑produced material intended to manipulate rankings. Google provides examples, enforcement timelines and best practice guidance so publishers can maintain visibility while improving original quality and resisting malicious AI‑driven scale‑ups while protecting searchers and long‑term trust.</w:t>
      </w:r>
      <w:r/>
    </w:p>
    <w:p>
      <w:pPr>
        <w:pStyle w:val="ListNumber"/>
        <w:spacing w:line="240" w:lineRule="auto"/>
        <w:ind w:left="720"/>
      </w:pPr>
      <w:r/>
      <w:hyperlink r:id="rId15">
        <w:r>
          <w:rPr>
            <w:color w:val="0000EE"/>
            <w:u w:val="single"/>
          </w:rPr>
          <w:t>https://arxiv.org/abs/2208.12809</w:t>
        </w:r>
      </w:hyperlink>
      <w:r>
        <w:t xml:space="preserve"> - The arXiv paper 'Incrementality Bidding and Attribution' presents a rigorous, causal approach to measuring advertising lift and integrating incrementality into bidding and attribution systems. Authors outline methodology unifying randomised experiments, uplift modelling and attribution to quantify true causal effect of showing an ad versus not. The work covers training, validation, scoring and operational deployment, arguing that causal measures improve ROI by preventing payment for inevitability. Practical components include experiment design, model training on randomized data, and production‑ready scoring and attribution workflows. The paper supports shifts from last‑touch credit to experimentally validated incrementality as the basis for commissions and budget allocation.</w:t>
      </w:r>
      <w:r/>
    </w:p>
    <w:p>
      <w:pPr>
        <w:pStyle w:val="ListNumber"/>
        <w:spacing w:line="240" w:lineRule="auto"/>
        <w:ind w:left="720"/>
      </w:pPr>
      <w:r/>
      <w:hyperlink r:id="rId16">
        <w:r>
          <w:rPr>
            <w:color w:val="0000EE"/>
            <w:u w:val="single"/>
          </w:rPr>
          <w:t>https://seon.io/resources/affiliate-fraud-detection-essentials/</w:t>
        </w:r>
      </w:hyperlink>
      <w:r>
        <w:t xml:space="preserve"> - SEON’s primer on affiliate fraud detection outlines common attack methods and practical defences for performance channels. It explains device fingerprinting, behavioural analytics, IP and proxy detection, subID forensics and session‑level monitoring as core techniques to reveal multi‑accounting, bot farms and incentive abuse. The guide recommends combining real‑time scoring, anomaly detection and manual review workflows to throttle suspicious partners and protect payouts. SEON emphasises layered defences, continuous model updates and clear rules for appeals, plus integration with payment and attribution systems to reduce false positives. The resource is aimed at programme managers seeking ways to detect fraud and maintain partner trust.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aleo.io/blog/preparing-for-the-future-how-affiliate-marketing-will-change/" TargetMode="External"/><Relationship Id="rId11" Type="http://schemas.openxmlformats.org/officeDocument/2006/relationships/hyperlink" Target="https://www.awin.com/us/forrester-affiliate-investment-2024" TargetMode="External"/><Relationship Id="rId12" Type="http://schemas.openxmlformats.org/officeDocument/2006/relationships/hyperlink" Target="https://www.mckinsey.com/capabilities/growth-marketing-and-sales/our-insights/unlocking-the-next-frontier-of-personalized-marketing" TargetMode="External"/><Relationship Id="rId13" Type="http://schemas.openxmlformats.org/officeDocument/2006/relationships/hyperlink" Target="https://developers.google.com/privacy-sandbox/blog/cookie-countdown-2023oct" TargetMode="External"/><Relationship Id="rId14" Type="http://schemas.openxmlformats.org/officeDocument/2006/relationships/hyperlink" Target="https://developers.google.com/search/blog/2024/03/core-update-spam-policies" TargetMode="External"/><Relationship Id="rId15" Type="http://schemas.openxmlformats.org/officeDocument/2006/relationships/hyperlink" Target="https://arxiv.org/abs/2208.12809" TargetMode="External"/><Relationship Id="rId16" Type="http://schemas.openxmlformats.org/officeDocument/2006/relationships/hyperlink" Target="https://seon.io/resources/affiliate-fraud-detection-essenti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