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First‑mile visibility becomes a business imperative as regulation and analytics reshape supply chains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Typically, supply‑chain transparency conversations orbit the last mile — the familiar “production to fork” journey where logistics, consumer-facing sustainability claims and waste reduction dominate boardroom debates. Yet the quieter, more dispersed first mile — everything that happens before goods arrive at a production facility, from raw‑material extraction and farm cultivation through primary packing and transport — is rapidly claiming centre stage. Greater scrutiny from regulators, rising costs of uncertainty and new capabilities in data analytics mean that what happens at origin now directly shapes resilience, compliance and brand risk downstream.</w:t>
      </w:r>
      <w:r/>
    </w:p>
    <w:p>
      <w:r/>
      <w:r>
        <w:t>Why the first mile matters now</w:t>
      </w:r>
      <w:r/>
    </w:p>
    <w:p>
      <w:r/>
      <w:r>
        <w:t>The first mile is often the longest and most complex stretch of a product’s journey. It spans multiple geographies, smallholder farms and primary processors, and it frequently relies on paper records or fragmented digital tools. That opacity forces manufacturers to compensate with buffer stocks, slower response times and costly recall exposures when problems arise. Logistics provider analyses show that poor visibility translates into concrete costs: excess inventory, higher warehousing bills, regulatory penalties and erosion of customer trust. Industry observers argue that investing in upstream transparency therefore delivers measurable operational and financial returns, not just reputational benefits.</w:t>
      </w:r>
      <w:r/>
    </w:p>
    <w:p>
      <w:r/>
      <w:r>
        <w:t xml:space="preserve">Industry research underlines the urgency. Jabil’s 2024 Supply Chain Resilience Survey — reported in IndustryWeek and summarised in Jabil’s own blog — found that nearly seven in ten supply‑chain decision‑makers say they lack sufficient visibility across product lifecycles and need more data to make accurate decisions. The same work highlights that companies are prioritising technology stacks, localisation strategies such as China‑plus‑one, and sustainability measures as ways to turn partial visibility into actionable foresight. In short, businesses want less “react and patch” and more predictive capability. </w:t>
      </w:r>
      <w:r/>
    </w:p>
    <w:p>
      <w:r/>
      <w:r>
        <w:t>Regulation is forcing first‑mile transparency into practice</w:t>
      </w:r>
      <w:r/>
    </w:p>
    <w:p>
      <w:r/>
      <w:r>
        <w:t>Regulatory regimes are a major catalyst. In the United States, the Food and Drug Administration’s Food Safety Modernization Act reframed food safety from reaction to prevention and strengthened requirements on traceability and record‑keeping for high‑risk foods. FSMA’s provisions push supply‑chain actors to capture provenance information and critical tracking events so that outbreak response and targeted recalls can be executed rapidly. In Europe, the Regulation on Deforestation‑free Products — the EU Deforestation Regulation that came into force in 2023 — obliges operators and traders to demonstrate that covered commodities (including cattle, coffee, cocoa, palm oil, soy and timber) are deforestation‑free, legally produced and subject to due diligence. The European Commission intentionally built phased application dates into the regulation to give companies time to establish verification systems, but the direction of travel is clear: origin‑level proof will be expected and audited.</w:t>
      </w:r>
      <w:r/>
    </w:p>
    <w:p>
      <w:r/>
      <w:r>
        <w:t>How first‑mile traceability creates value</w:t>
      </w:r>
      <w:r/>
    </w:p>
    <w:p>
      <w:r/>
      <w:r>
        <w:t>Beyond legal compliance, first‑mile traceability improves food safety and helps limit the fallout of product incidents. Industry commentary notes that recording critical tracking events and key data elements — from harvest or extraction dates and batch identifiers to packing and handover events — enables precise, surgical recalls rather than blanket withdrawals that damage brands and waste product. Those same upstream data points support sustainability reporting, reduce waste through better inventory management and enable retailers and manufacturers to demonstrate credible claims about provenance and environmental impact.</w:t>
      </w:r>
      <w:r/>
    </w:p>
    <w:p>
      <w:r/>
      <w:r>
        <w:t>Turning data into decisions</w:t>
      </w:r>
      <w:r/>
    </w:p>
    <w:p>
      <w:r/>
      <w:r>
        <w:t>Achieving usable first‑mile visibility is as much about governance and interoperability as it is about hardware. Jabil and other industry analysts emphasise that visibility must be actionable: raw data without consistent structures, agreed‑upon key data elements, and strong data governance will not deliver predictability. Companies are therefore investing in predictive analytics, artificial intelligence and automation to convert fragmented inputs into forward‑looking signals that allow firms to shift from reactive firefighting to proactive risk management.</w:t>
      </w:r>
      <w:r/>
    </w:p>
    <w:p>
      <w:r/>
      <w:r>
        <w:t>Practical technology and standards recommendations that industry practitioners are advancing include:</w:t>
      </w:r>
      <w:r/>
      <w:r/>
    </w:p>
    <w:p>
      <w:pPr>
        <w:pStyle w:val="ListBullet"/>
        <w:spacing w:line="240" w:lineRule="auto"/>
        <w:ind w:left="720"/>
      </w:pPr>
      <w:r/>
      <w:r>
        <w:t xml:space="preserve">Mapping the supply base and prioritising the highest‑risk origins and commodities for immediate focus. </w:t>
      </w:r>
      <w:r/>
    </w:p>
    <w:p>
      <w:pPr>
        <w:pStyle w:val="ListBullet"/>
        <w:spacing w:line="240" w:lineRule="auto"/>
        <w:ind w:left="720"/>
      </w:pPr>
      <w:r/>
      <w:r>
        <w:t xml:space="preserve">Defining critical tracking events (CTEs) and key data elements (KDEs) that must be captured at source. </w:t>
      </w:r>
      <w:r/>
    </w:p>
    <w:p>
      <w:pPr>
        <w:pStyle w:val="ListBullet"/>
        <w:spacing w:line="240" w:lineRule="auto"/>
        <w:ind w:left="720"/>
      </w:pPr>
      <w:r/>
      <w:r>
        <w:t xml:space="preserve">Adopting interoperable standards such as EPCIS to ensure data flows between farms, processors, logistics providers and manufacturers. </w:t>
      </w:r>
      <w:r/>
    </w:p>
    <w:p>
      <w:pPr>
        <w:pStyle w:val="ListBullet"/>
        <w:spacing w:line="240" w:lineRule="auto"/>
        <w:ind w:left="720"/>
      </w:pPr>
      <w:r/>
      <w:r>
        <w:t xml:space="preserve">Deploying digital identifiers and simple IoT tagging at packing or transfer points to reduce paper‑based gaps. </w:t>
      </w:r>
      <w:r/>
    </w:p>
    <w:p>
      <w:pPr>
        <w:pStyle w:val="ListBullet"/>
        <w:spacing w:line="240" w:lineRule="auto"/>
        <w:ind w:left="720"/>
      </w:pPr>
      <w:r/>
      <w:r>
        <w:t xml:space="preserve">Building control‑tower capabilities and integrated data platforms that bring disparate feeds into a single operational view. </w:t>
      </w:r>
      <w:r/>
    </w:p>
    <w:p>
      <w:pPr>
        <w:pStyle w:val="ListBullet"/>
        <w:spacing w:line="240" w:lineRule="auto"/>
        <w:ind w:left="720"/>
      </w:pPr>
      <w:r/>
      <w:r>
        <w:t xml:space="preserve">Investing in data governance and supplier onboarding so data is consistent, auditable and legally defensible. </w:t>
      </w:r>
      <w:r/>
      <w:r/>
    </w:p>
    <w:p>
      <w:r/>
      <w:r>
        <w:t>Supply‑chain commentators also stress that collaboration across the ecosystem — from co‑ops and aggregators at origin through to retailers and logistics partners — is essential. A sponsored feature in Supply Chain Dive argued that when farmers, packers and downstream buyers agree common standards and share interoperable systems, everyone benefits through improved recall speed, reduced waste and stronger sustainability claims.</w:t>
      </w:r>
      <w:r/>
    </w:p>
    <w:p>
      <w:r/>
      <w:r>
        <w:t>Steps manufacturers can take now</w:t>
      </w:r>
      <w:r/>
    </w:p>
    <w:p>
      <w:r/>
      <w:r>
        <w:t>For manufacturers starting to close first‑mile gaps, a pragmatic, staged approach tends to work best:</w:t>
      </w:r>
      <w:r/>
      <w:r/>
    </w:p>
    <w:p>
      <w:pPr>
        <w:pStyle w:val="ListNumber"/>
        <w:numPr>
          <w:ilvl w:val="0"/>
          <w:numId w:val="14"/>
        </w:numPr>
        <w:spacing w:line="240" w:lineRule="auto"/>
        <w:ind w:left="720"/>
      </w:pPr>
      <w:r/>
      <w:r>
        <w:t xml:space="preserve">Rapidly map and risk‑rank suppliers and origins to identify where first‑mile failures would have the greatest impact. </w:t>
      </w:r>
      <w:r/>
    </w:p>
    <w:p>
      <w:pPr>
        <w:pStyle w:val="ListNumber"/>
        <w:spacing w:line="240" w:lineRule="auto"/>
        <w:ind w:left="720"/>
      </w:pPr>
      <w:r/>
      <w:r>
        <w:t xml:space="preserve">Pilot data capture at high‑priority nodes (for example, primary packhouses or leading supplier groups), defining KDEs and CTEs up front. </w:t>
      </w:r>
      <w:r/>
    </w:p>
    <w:p>
      <w:pPr>
        <w:pStyle w:val="ListNumber"/>
        <w:spacing w:line="240" w:lineRule="auto"/>
        <w:ind w:left="720"/>
      </w:pPr>
      <w:r/>
      <w:r>
        <w:t xml:space="preserve">Choose technologies that support open standards and phased roll‑out rather than single‑vendor lock‑in. </w:t>
      </w:r>
      <w:r/>
    </w:p>
    <w:p>
      <w:pPr>
        <w:pStyle w:val="ListNumber"/>
        <w:spacing w:line="240" w:lineRule="auto"/>
        <w:ind w:left="720"/>
      </w:pPr>
      <w:r/>
      <w:r>
        <w:t xml:space="preserve">Strengthen contractual requirements and capacity‑building for suppliers, offering shared‑cost devices or technical support where necessary. </w:t>
      </w:r>
      <w:r/>
    </w:p>
    <w:p>
      <w:pPr>
        <w:pStyle w:val="ListNumber"/>
        <w:spacing w:line="240" w:lineRule="auto"/>
        <w:ind w:left="720"/>
      </w:pPr>
      <w:r/>
      <w:r>
        <w:t xml:space="preserve">Layer in analytics and predictive models once consistent, auditable data is arriving; use these models to reduce safety stock and improve lead‑time estimates. </w:t>
      </w:r>
      <w:r/>
    </w:p>
    <w:p>
      <w:pPr>
        <w:pStyle w:val="ListNumber"/>
        <w:spacing w:line="240" w:lineRule="auto"/>
        <w:ind w:left="720"/>
      </w:pPr>
      <w:r/>
      <w:r>
        <w:t>Align compliance timelines with regulatory obligations — for example, build verification capabilities consistent with FSMA traceability rules and EUDR due‑diligence expectations.</w:t>
      </w:r>
      <w:r/>
      <w:r/>
    </w:p>
    <w:p>
      <w:r/>
      <w:r>
        <w:t>Where investments are most effective</w:t>
      </w:r>
      <w:r/>
    </w:p>
    <w:p>
      <w:r/>
      <w:r>
        <w:t>Analyses from logistics firms and consultants show the highest returns when technology investments are paired with process redesign and supplier engagement. Control towers and real‑time tracking pay off only if companies first agree what to measure, how to measure it and which decisions will follow from new insights. Equally, automation and AI will amplify errors if underlying data governance is weak.</w:t>
      </w:r>
      <w:r/>
    </w:p>
    <w:p>
      <w:r/>
      <w:r>
        <w:t>Conclusion</w:t>
      </w:r>
      <w:r/>
    </w:p>
    <w:p>
      <w:r/>
      <w:r>
        <w:t>Companies have long focused on the last mile because it is visible to consumers and directly tied to cost and sustainability metrics. But the first mile is where many risks, costs and credibility challenges are seeded. Industry research, logistics analysis and evolving regulation all point to the same conclusion: upstream visibility is no longer optional. For manufacturers, the imperative is clear — invest in the people, processes and interoperable systems that capture reliable origin data, make it auditable for regulators and usable for decision‑making, and you not only reduce compliance and recall risk but unlock real operational resilience and competitive advantage.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https://pmlive.com/intelligence/improving-transparency-and-traceability-within-the-supply-chains-first-mile/</w:t>
        </w:r>
      </w:hyperlink>
      <w:r>
        <w:t xml:space="preserve"> - Please view link - unable to able to access data</w:t>
      </w:r>
      <w:r/>
    </w:p>
    <w:p>
      <w:pPr>
        <w:pStyle w:val="ListNumber"/>
        <w:spacing w:line="240" w:lineRule="auto"/>
        <w:ind w:left="720"/>
      </w:pPr>
      <w:r/>
      <w:hyperlink r:id="rId11">
        <w:r>
          <w:rPr>
            <w:color w:val="0000EE"/>
            <w:u w:val="single"/>
          </w:rPr>
          <w:t>https://www.industryweek.com/supply-chain/supply-chain-technology/article/55055787/riskier-supply-chains-call-for-more-incisive-data-savvier-strategy</w:t>
        </w:r>
      </w:hyperlink>
      <w:r>
        <w:t xml:space="preserve"> - IndustryWeek reports on Jabil’s 2024 Supply Chain Resilience Survey, highlighting that many manufacturers lack sufficient visibility across product lifecycles. The piece explains that nearly seventy per cent of respondents stated they have limited visibility and need more; firms increasingly use market intelligence, artificial intelligence and predictive analytics to improve predictability. It outlines priorities such as optimisation of resilience, investment in technology stacks and sustainability considerations driven by evolving regulation. The article stresses that visibility must be actionable and underpinned by data governance, arguing that predictive capabilities enable companies to anticipate disruptions and shift from reactive to proactive supply‑chain management overall.</w:t>
      </w:r>
      <w:r/>
    </w:p>
    <w:p>
      <w:pPr>
        <w:pStyle w:val="ListNumber"/>
        <w:spacing w:line="240" w:lineRule="auto"/>
        <w:ind w:left="720"/>
      </w:pPr>
      <w:r/>
      <w:hyperlink r:id="rId12">
        <w:r>
          <w:rPr>
            <w:color w:val="0000EE"/>
            <w:u w:val="single"/>
          </w:rPr>
          <w:t>https://redesign.jabil.com/jabil-one/blog/future-of-supply-chain.html</w:t>
        </w:r>
      </w:hyperlink>
      <w:r>
        <w:t xml:space="preserve"> - Jabil’s blog on supply‑chain risk management summarises findings from its 2024 Supply Chain Resilience Survey of nearly two hundred decision‑makers. It reports that almost seven in ten respondents have limited visibility into product lifecycles and require more data to make accurate decisions. The post describes how firms are adopting predictive analytics, artificial intelligence and automation to create actionable visibility, enabling predictability rather than mere reaction. It highlights investment priorities including technology stacks, localisation strategies such as China‑plus‑one, and sustainability measures. Jabil argues that robust data governance and market intelligence are essential foundations for resilient, adaptable and compliant supply‑chain operations overall.</w:t>
      </w:r>
      <w:r/>
    </w:p>
    <w:p>
      <w:pPr>
        <w:pStyle w:val="ListNumber"/>
        <w:spacing w:line="240" w:lineRule="auto"/>
        <w:ind w:left="720"/>
      </w:pPr>
      <w:r/>
      <w:hyperlink r:id="rId13">
        <w:r>
          <w:rPr>
            <w:color w:val="0000EE"/>
            <w:u w:val="single"/>
          </w:rPr>
          <w:t>https://www.fda.gov/food/food-safety-modernization-act-fsma/full-text-food-safety-modernization-act-fsma</w:t>
        </w:r>
      </w:hyperlink>
      <w:r>
        <w:t xml:space="preserve"> - The Food and Drug Administration’s page presents the full text and provisions of the Food Safety Modernization Act, landmark United States federal legislation aimed at shifting the food system from reactive to preventive controls. FSMA mandates enhanced record‑keeping, inspection frequency adjustments, and authority for the agency to order recalls and enforce preventive measures to reduce foodborne illness. The law requires the development of rules and guidance for industry, including traceability and supply‑chain records for high‑risk foods to expedite outbreak response. FSMA underpins regulatory expectations for first‑mile traceability by obliging stakeholders to maintain accurate provenance information and critical tracking events thereby.</w:t>
      </w:r>
      <w:r/>
    </w:p>
    <w:p>
      <w:pPr>
        <w:pStyle w:val="ListNumber"/>
        <w:spacing w:line="240" w:lineRule="auto"/>
        <w:ind w:left="720"/>
      </w:pPr>
      <w:r/>
      <w:hyperlink r:id="rId14">
        <w:r>
          <w:rPr>
            <w:color w:val="0000EE"/>
            <w:u w:val="single"/>
          </w:rPr>
          <w:t>https://environment.ec.europa.eu/topics/forests/deforestation/regulation-deforestation-free-products_en</w:t>
        </w:r>
      </w:hyperlink>
      <w:r>
        <w:t xml:space="preserve"> - The European Commission’s page explains the Regulation on Deforestation‑free Products, commonly known as the EU Deforestation Regulation, which entered into force in 2023 to prevent commodities sold in the EU from contributing to deforestation and forest degradation. It covers products such as cattle, coffee, cocoa, palm oil, soy and timber and requires operators and traders to demonstrate that goods are deforestation‑free, legally produced and covered by due diligence statements. The page outlines implementation timelines, risk‑based country classifications, obligations for supply‑chain traceability and phased application dates for different company sizes to allow time for compliance and verification systems to be established.</w:t>
      </w:r>
      <w:r/>
    </w:p>
    <w:p>
      <w:pPr>
        <w:pStyle w:val="ListNumber"/>
        <w:spacing w:line="240" w:lineRule="auto"/>
        <w:ind w:left="720"/>
      </w:pPr>
      <w:r/>
      <w:hyperlink r:id="rId15">
        <w:r>
          <w:rPr>
            <w:color w:val="0000EE"/>
            <w:u w:val="single"/>
          </w:rPr>
          <w:t>https://www.supplychaindive.com/spons/sustainability-starts-on-the-farm-how-agricultural-traceability-benefits-p/721428/</w:t>
        </w:r>
      </w:hyperlink>
      <w:r>
        <w:t xml:space="preserve"> - Supply Chain Dive’s sponsored article discusses agricultural traceability and the importance of first‑mile data capture from farm through packing and transport. It emphasises that recording critical tracking events and key data elements improves food safety, enables precise recalls and supports compliance with FSMA and traceability rules. The piece highlights benefits for producers and retailers including reduced waste, improved inventory management, and stronger sustainability reporting. It argues that interoperable standards such as EPCIS and collaboration across stakeholders are crucial to make first‑mile information usable downstream and to build consumer confidence through transparent farm‑to‑market records that protect public health and brand reputation.</w:t>
      </w:r>
      <w:r/>
    </w:p>
    <w:p>
      <w:pPr>
        <w:pStyle w:val="ListNumber"/>
        <w:spacing w:line="240" w:lineRule="auto"/>
        <w:ind w:left="720"/>
      </w:pPr>
      <w:r/>
      <w:hyperlink r:id="rId16">
        <w:r>
          <w:rPr>
            <w:color w:val="0000EE"/>
            <w:u w:val="single"/>
          </w:rPr>
          <w:t>https://ro.kuehne-nagel.com/en/-/knowledge/the-true-cost-of-poor-supply-chain-visibility</w:t>
        </w:r>
      </w:hyperlink>
      <w:r>
        <w:t xml:space="preserve"> - Kuehne+Nagel analyse the tangible costs of poor supply‑chain visibility, detailing how limited transparency drives excess inventory, higher warehousing expenses, regulatory risk and erosion of customer trust. The article explains that businesses without end‑to‑end insight often overcompensate for uncertainty by holding additional stock, which ties up capital and increases obsolescence risk. It describes impacts on operational efficiency, compliance failures and missed opportunities for optimisation. Practical remedies are suggested, including integrated data platforms, real‑time tracking, collaborative information sharing and control‑tower approaches. The piece concludes that investing in visibility technology and governance yields cost reductions, improved responsiveness and strengthened resilience and competitive advantage.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mlive.com/intelligence/improving-transparency-and-traceability-within-the-supply-chains-first-mile/" TargetMode="External"/><Relationship Id="rId11" Type="http://schemas.openxmlformats.org/officeDocument/2006/relationships/hyperlink" Target="https://www.industryweek.com/supply-chain/supply-chain-technology/article/55055787/riskier-supply-chains-call-for-more-incisive-data-savvier-strategy" TargetMode="External"/><Relationship Id="rId12" Type="http://schemas.openxmlformats.org/officeDocument/2006/relationships/hyperlink" Target="https://redesign.jabil.com/jabil-one/blog/future-of-supply-chain.html" TargetMode="External"/><Relationship Id="rId13" Type="http://schemas.openxmlformats.org/officeDocument/2006/relationships/hyperlink" Target="https://www.fda.gov/food/food-safety-modernization-act-fsma/full-text-food-safety-modernization-act-fsma" TargetMode="External"/><Relationship Id="rId14" Type="http://schemas.openxmlformats.org/officeDocument/2006/relationships/hyperlink" Target="https://environment.ec.europa.eu/topics/forests/deforestation/regulation-deforestation-free-products_en" TargetMode="External"/><Relationship Id="rId15" Type="http://schemas.openxmlformats.org/officeDocument/2006/relationships/hyperlink" Target="https://www.supplychaindive.com/spons/sustainability-starts-on-the-farm-how-agricultural-traceability-benefits-p/721428/" TargetMode="External"/><Relationship Id="rId16" Type="http://schemas.openxmlformats.org/officeDocument/2006/relationships/hyperlink" Target="https://ro.kuehne-nagel.com/en/-/knowledge/the-true-cost-of-poor-supply-chain-visibil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