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Integrated reporting emerges as a crucial business imperative amid regulatory and investor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years companies have treated financial reporting and sustainability reporting as separate disciplines , distinct teams, systems and rhythms that produce parallel narratives about the same enterprise. According to the original report on EcoActive’s platform, that separation has produced fragmented decision‑making, duplicated effort and data scattered across spreadsheets and siloed departments. As regulators tighten assurance requirements and investors demand a holistic view of value creation, integrated reporting that unifies financial and ESG performance is rapidly moving from best practice to business imperative.</w:t>
      </w:r>
      <w:r/>
    </w:p>
    <w:p>
      <w:r/>
      <w:r>
        <w:t>Why the separation no longer works</w:t>
      </w:r>
      <w:r/>
    </w:p>
    <w:p>
      <w:r/>
      <w:r>
        <w:t xml:space="preserve">Fragmented performance narratives. When finance holds profitability, cash flow and risk metrics in one system and sustainability teams track emissions, labour metrics and supply‑chain impacts in another, management cannot reliably connect ESG initiatives to financial outcomes. The EcoActive overview argues this disconnect prevents companies from answering even basic strategic questions , for example, how energy efficiency lowers operating costs or how climate exposure affects asset valuation. Industry commentary reinforces this point: financial‑services and corporate analyses show that disparate standards and poor data linkage make it hard to present an investment‑ready, enterprise‑wide story. </w:t>
      </w:r>
      <w:r/>
    </w:p>
    <w:p>
      <w:r/>
      <w:r>
        <w:t>Operational inefficiency and elevated cost. Multiple sources and manual reconciliations drive repetitive data collection, version conflicts and extended reporting cycles. The EcoActive piece highlights how manual spreadsheets and ad‑hoc emails escalate quality‑control effort; independent reviews of corporate practice echo that fragmented workflows increase assurance time and consulting spend. Auditability becomes expensive because auditors must trace numbers through many unconnected artefacts, and firms pay heavily for tasks that could be automated in a unified environment.</w:t>
      </w:r>
      <w:r/>
    </w:p>
    <w:p>
      <w:r/>
      <w:r>
        <w:t>Regulatory and comparability pressures. Global rule‑making , from the EU’s ESRS and CSRD to the ISSB’s IFRS S‑series , is increasing demands for traceable, timely and consistent disclosures. Several industry analyses note the absence of a single global framework complicates comparability, while U.S. firms and financial institutions face additional challenges because domestic guidance has not converged with emerging international standards. Integrated reporting platforms, the original report claims, reduce regulatory friction by maintaining finance‑grade controls and cross‑mapped datasets that can be reported against multiple frameworks.</w:t>
      </w:r>
      <w:r/>
    </w:p>
    <w:p>
      <w:r/>
      <w:r>
        <w:t>The business case for integration</w:t>
      </w:r>
      <w:r/>
    </w:p>
    <w:p>
      <w:r/>
      <w:r>
        <w:t>A single source of truth. Integrated Finance+ESG systems create a shared data architecture so financial and non‑financial metrics cohere around the same master records. According to the EcoActive summary, this enables explicit linkage between GHG reductions and cost outcomes, and allows management to map sustainability programmes to KPIs that matter to investors.</w:t>
      </w:r>
      <w:r/>
    </w:p>
    <w:p>
      <w:r/>
      <w:r>
        <w:t>Lower reporting cost and faster assurance. When validations, audit trails and documentation are native to the reporting environment, internal reviews and third‑party assurance become more efficient. Industry commentaries corroborate that automated controls and centralized evidence lower both the time and cost of compliance , a material advantage as assurance expectations rise.</w:t>
      </w:r>
      <w:r/>
    </w:p>
    <w:p>
      <w:r/>
      <w:r>
        <w:t>Improved comparability and decision support. Integration supports scenario modelling, carbon‑price sensitivity, and benchmarking against peers. Analysts and practitioners emphasise that standardised, high‑quality data improves comparability across firms and sectors and reduces the risk of greenwashing by making claims traceable to source data.</w:t>
      </w:r>
      <w:r/>
    </w:p>
    <w:p>
      <w:r/>
      <w:r>
        <w:t>Practical barriers and organisational change</w:t>
      </w:r>
      <w:r/>
    </w:p>
    <w:p>
      <w:r/>
      <w:r>
        <w:t>Implementation is not only technical. Academic and practitioner reviews stress three recurring obstacles: the complexity of consolidating diverse data types, the resource intensity of change programmes, and internal resistance rooted in culture and legacy processes. Several sources warn that without cross‑functional governance , finance, sustainability, risk and IT working together , platforms merely replace one set of silos with another.</w:t>
      </w:r>
      <w:r/>
    </w:p>
    <w:p>
      <w:r/>
      <w:r>
        <w:t>Data quality and standards remain work in progress. Analysts point to inconsistent measurement approaches, gaps in Scope 3 data, and the continuing absence of a single universal reporting standard as constraints on full integration. New research in document parsing and multimodal extraction shows technical advances can help convert irregular ESG disclosures into structured inputs, but these tools complement rather than eliminate the need for governance and expert judgement.</w:t>
      </w:r>
      <w:r/>
    </w:p>
    <w:p>
      <w:r/>
      <w:r>
        <w:t>What integrated platforms must deliver</w:t>
      </w:r>
      <w:r/>
    </w:p>
    <w:p>
      <w:r/>
      <w:r>
        <w:t>Practical, enterprise‑grade integration requires a combination of features:</w:t>
      </w:r>
      <w:r/>
      <w:r/>
    </w:p>
    <w:p>
      <w:pPr>
        <w:pStyle w:val="ListBullet"/>
        <w:spacing w:line="240" w:lineRule="auto"/>
        <w:ind w:left="720"/>
      </w:pPr>
      <w:r/>
      <w:r>
        <w:t xml:space="preserve">Shared data libraries and role‑based workflows so finance and sustainability use the same verified inputs. </w:t>
      </w:r>
      <w:r/>
    </w:p>
    <w:p>
      <w:pPr>
        <w:pStyle w:val="ListBullet"/>
        <w:spacing w:line="240" w:lineRule="auto"/>
        <w:ind w:left="720"/>
      </w:pPr>
      <w:r/>
      <w:r>
        <w:t xml:space="preserve">ERP connectivity and automated ingestion to remove manual handoffs and reduce timing mismatches. </w:t>
      </w:r>
      <w:r/>
    </w:p>
    <w:p>
      <w:pPr>
        <w:pStyle w:val="ListBullet"/>
        <w:spacing w:line="240" w:lineRule="auto"/>
        <w:ind w:left="720"/>
      </w:pPr>
      <w:r/>
      <w:r>
        <w:t xml:space="preserve">Built‑in validations, audit trails and iXBRL/XBRL capability so outputs meet regulator and auditor expectations. </w:t>
      </w:r>
      <w:r/>
    </w:p>
    <w:p>
      <w:pPr>
        <w:pStyle w:val="ListBullet"/>
        <w:spacing w:line="240" w:lineRule="auto"/>
        <w:ind w:left="720"/>
      </w:pPr>
      <w:r/>
      <w:r>
        <w:t xml:space="preserve">Transparent GHG‑calculation logic that supports Scope 1–3, location‑ and market‑based methods and publishes emission factors and assumptions. </w:t>
      </w:r>
      <w:r/>
    </w:p>
    <w:p>
      <w:pPr>
        <w:pStyle w:val="ListBullet"/>
        <w:spacing w:line="240" w:lineRule="auto"/>
        <w:ind w:left="720"/>
      </w:pPr>
      <w:r/>
      <w:r>
        <w:t xml:space="preserve">Analytics, peer benchmarking and scenario tools that quantify ESG impact on cash flows, costs and asset valuations. </w:t>
      </w:r>
      <w:r/>
    </w:p>
    <w:p>
      <w:pPr>
        <w:pStyle w:val="ListBullet"/>
        <w:spacing w:line="240" w:lineRule="auto"/>
        <w:ind w:left="720"/>
      </w:pPr>
      <w:r/>
      <w:r>
        <w:t>Governance and change management to align incentives, clarify ownership and protect against greenwashing.</w:t>
      </w:r>
      <w:r/>
      <w:r/>
    </w:p>
    <w:p>
      <w:r/>
      <w:r>
        <w:t>EcoActive’s proposition, as set out in the lead piece, packages these capabilities into a single architecture with agentic AI to automate intake, author narratives and enforce validations. Independent sector analyses suggest such automation can materially reduce reporting overheads, but they emphasise the need for rigorous controls, human oversight and careful documentation of assumptions.</w:t>
      </w:r>
      <w:r/>
    </w:p>
    <w:p>
      <w:r/>
      <w:r>
        <w:t>What boards and CFOs should consider now</w:t>
      </w:r>
      <w:r/>
    </w:p>
    <w:p>
      <w:r/>
      <w:r>
        <w:t>Adopting integrated reporting is both strategic and tactical. From a strategic perspective, aligning sustainability with financial planning strengthens investor dialogue, supports capital allocation and clarifies ROI from decarbonisation and social investments. Tactically, organisations should begin with a finite set of use cases , for example, linking energy projects to OPEX and capital plans or embedding climate scenario outputs into impairment testing , then scale as governance, data quality and tooling mature.</w:t>
      </w:r>
      <w:r/>
    </w:p>
    <w:p>
      <w:r/>
      <w:r>
        <w:t>Conclusions</w:t>
      </w:r>
      <w:r/>
    </w:p>
    <w:p>
      <w:r/>
      <w:r>
        <w:t>The case for integrated reporting is increasingly compelling. Regulatory momentum, investor expectations and the operational inefficiencies of dual reporting models converge to make integration a strategic necessity rather than an optional enhancement. As the EcoActive report argues, firms that unify finance and ESG data, automate controls and adopt analytics will be better placed to demonstrate value creation, satisfy assurance demands and respond rapidly to evolving standards. That transition requires technology, yes, but also governance, cross‑functional alignment and transparent documentation , the essentials of credible, investment‑ready disclosure.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https://ecoactivetech.com/integrated-reporting-solutions-esg-finance/</w:t>
        </w:r>
      </w:hyperlink>
      <w:r>
        <w:t xml:space="preserve"> - Please view link - unable to able to access data</w:t>
      </w:r>
      <w:r/>
    </w:p>
    <w:p>
      <w:pPr>
        <w:pStyle w:val="ListNumber"/>
        <w:spacing w:line="240" w:lineRule="auto"/>
        <w:ind w:left="720"/>
      </w:pPr>
      <w:r/>
      <w:hyperlink r:id="rId11">
        <w:r>
          <w:rPr>
            <w:color w:val="0000EE"/>
            <w:u w:val="single"/>
          </w:rPr>
          <w:t>https://www.indium.tech/blog/incorporating-esg-insights-into-financial-reporting-frameworks-a-transformative-shift-for-us-companies/</w:t>
        </w:r>
      </w:hyperlink>
      <w:r>
        <w:t xml:space="preserve"> - This article discusses the integration of Environmental, Social, and Governance (ESG) factors into financial reporting frameworks, highlighting the challenges and opportunities for U.S. companies. It emphasizes the importance of aligning business practices with consumer values and addresses issues such as data inconsistency, complexity, and the risk of greenwashing. The piece also compares the U.S. approach to ESG integration with global standards, noting the lack of a universally accepted framework and the need for standardized reporting to enhance comparability and reliability.</w:t>
      </w:r>
      <w:r/>
    </w:p>
    <w:p>
      <w:pPr>
        <w:pStyle w:val="ListNumber"/>
        <w:spacing w:line="240" w:lineRule="auto"/>
        <w:ind w:left="720"/>
      </w:pPr>
      <w:r/>
      <w:hyperlink r:id="rId12">
        <w:r>
          <w:rPr>
            <w:color w:val="0000EE"/>
            <w:u w:val="single"/>
          </w:rPr>
          <w:t>https://impact.economist.com/sustainability/resilience-and-adaptation/esg-reporting-challenges-and-opportunities-for-financial-services-firms</w:t>
        </w:r>
      </w:hyperlink>
      <w:r>
        <w:t xml:space="preserve"> - This article examines the challenges and opportunities of ESG reporting for financial services firms. It highlights issues such as data quality, standardization, and the complexities of measuring ESG performance. The piece also discusses the impact of disparate standards on comparability and the difficulties firms face in complying with policies like the EU’s Corporate Sustainability Reporting Directive (CSRD). It underscores the need for high-quality, comprehensive data to effectively integrate ESG factors into financial reporting.</w:t>
      </w:r>
      <w:r/>
    </w:p>
    <w:p>
      <w:pPr>
        <w:pStyle w:val="ListNumber"/>
        <w:spacing w:line="240" w:lineRule="auto"/>
        <w:ind w:left="720"/>
      </w:pPr>
      <w:r/>
      <w:hyperlink r:id="rId13">
        <w:r>
          <w:rPr>
            <w:color w:val="0000EE"/>
            <w:u w:val="single"/>
          </w:rPr>
          <w:t>https://fintracadvisors.com/integrating-esg-into-financial-reporting-challenges-and-opportunities/</w:t>
        </w:r>
      </w:hyperlink>
      <w:r>
        <w:t xml:space="preserve"> - This article explores the integration of ESG factors into financial reporting, focusing on the challenges and opportunities it presents. It discusses the lack of universally accepted frameworks, data availability and reliability issues, and the high cost of compliance. The piece also highlights the risk of greenwashing and the need for cross-functional collaboration between sustainability teams, finance departments, and IT systems. Despite these challenges, the article emphasizes the advantages of ESG integration, including enhanced investor confidence and improved risk management.</w:t>
      </w:r>
      <w:r/>
    </w:p>
    <w:p>
      <w:pPr>
        <w:pStyle w:val="ListNumber"/>
        <w:spacing w:line="240" w:lineRule="auto"/>
        <w:ind w:left="720"/>
      </w:pPr>
      <w:r/>
      <w:hyperlink r:id="rId14">
        <w:r>
          <w:rPr>
            <w:color w:val="0000EE"/>
            <w:u w:val="single"/>
          </w:rPr>
          <w:t>https://everant.org/index.php/afmjh/article/download/2141/1546/5962</w:t>
        </w:r>
      </w:hyperlink>
      <w:r>
        <w:t xml:space="preserve"> - This academic article addresses the challenges of integrating financial and non-financial information in corporate reporting. It highlights issues such as the complexity of consolidating diverse data, the lack of uniform standards, and the resource intensity required for implementation. The piece also discusses internal resistance to change and the need for significant shifts in corporate culture and strategy. It calls for ongoing research and refinement of integrated reporting practices to overcome these barriers and enhance the effectiveness of corporate disclosures.</w:t>
      </w:r>
      <w:r/>
    </w:p>
    <w:p>
      <w:pPr>
        <w:pStyle w:val="ListNumber"/>
        <w:spacing w:line="240" w:lineRule="auto"/>
        <w:ind w:left="720"/>
      </w:pPr>
      <w:r/>
      <w:hyperlink r:id="rId15">
        <w:r>
          <w:rPr>
            <w:color w:val="0000EE"/>
            <w:u w:val="single"/>
          </w:rPr>
          <w:t>https://arxiv.org/abs/2511.16417</w:t>
        </w:r>
      </w:hyperlink>
      <w:r>
        <w:t xml:space="preserve"> - This research paper introduces Pharos-ESG, a framework designed for multimodal parsing, contextual narration, and hierarchical labeling of ESG reports. It addresses challenges in understanding ESG reports due to irregular layouts and implicit hierarchies. The framework integrates reading-order modeling, hierarchy-aware segmentation, and multimodal aggregation to transform ESG reports into structured representations. The study demonstrates that Pharos-ESG outperforms both dedicated document parsing systems and general-purpose multimodal models, providing a valuable tool for ESG integration in financial governance and decision-making.</w:t>
      </w:r>
      <w:r/>
    </w:p>
    <w:p>
      <w:pPr>
        <w:pStyle w:val="ListNumber"/>
        <w:spacing w:line="240" w:lineRule="auto"/>
        <w:ind w:left="720"/>
      </w:pPr>
      <w:r/>
      <w:hyperlink r:id="rId16">
        <w:r>
          <w:rPr>
            <w:color w:val="0000EE"/>
            <w:u w:val="single"/>
          </w:rPr>
          <w:t>https://sustainability-directory.com/question/what-are-the-potential-challenges-of-integrating-esg-reporting-with-financial-reporting-in-different-industries/</w:t>
        </w:r>
      </w:hyperlink>
      <w:r>
        <w:t xml:space="preserve"> - This article discusses the potential challenges of integrating ESG reporting with financial reporting across different industries. It highlights issues such as data measurement and reliability, technology gaps, and expertise deficits. The piece also addresses cost and resource implications, noting the upfront and ongoing expenses associated with implementing integrated reporting. It emphasizes the need for organizations to invest in appropriate technology, cultivate cross-functional expertise, and overcome practical barriers to achieve effective integration of ESG and financial reporting.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activetech.com/integrated-reporting-solutions-esg-finance/" TargetMode="External"/><Relationship Id="rId11" Type="http://schemas.openxmlformats.org/officeDocument/2006/relationships/hyperlink" Target="https://www.indium.tech/blog/incorporating-esg-insights-into-financial-reporting-frameworks-a-transformative-shift-for-us-companies/" TargetMode="External"/><Relationship Id="rId12" Type="http://schemas.openxmlformats.org/officeDocument/2006/relationships/hyperlink" Target="https://impact.economist.com/sustainability/resilience-and-adaptation/esg-reporting-challenges-and-opportunities-for-financial-services-firms" TargetMode="External"/><Relationship Id="rId13" Type="http://schemas.openxmlformats.org/officeDocument/2006/relationships/hyperlink" Target="https://fintracadvisors.com/integrating-esg-into-financial-reporting-challenges-and-opportunities/" TargetMode="External"/><Relationship Id="rId14" Type="http://schemas.openxmlformats.org/officeDocument/2006/relationships/hyperlink" Target="https://everant.org/index.php/afmjh/article/download/2141/1546/5962" TargetMode="External"/><Relationship Id="rId15" Type="http://schemas.openxmlformats.org/officeDocument/2006/relationships/hyperlink" Target="https://arxiv.org/abs/2511.16417" TargetMode="External"/><Relationship Id="rId16" Type="http://schemas.openxmlformats.org/officeDocument/2006/relationships/hyperlink" Target="https://sustainability-directory.com/question/what-are-the-potential-challenges-of-integrating-esg-reporting-with-financial-reporting-in-different-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