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study reveals how classroom innovation and self-efficacy amplify AI‑driven student creativity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original report, a study of 270 undergraduates in China’s Jiangsu–Zhejiang–Shanghai region finds that an innovative classroom atmosphere measurably boosts student creativity and that this effect operates both directly and indirectly through students’ use of AI tools and their intrinsic motivation, with self‑efficacy strengthening those pathways.</w:t>
      </w:r>
      <w:r/>
    </w:p>
    <w:p>
      <w:r/>
      <w:r>
        <w:t>Grounded in Bandura’s social cognitive theory, the research builds a moderated multiple‑mediation model in which classroom innovation atmosphere is the environmental driver, AI technology application and intrinsic motivation act as parallel mediators, and self‑efficacy functions as a moderator. Data were collected in two waves from first to fourth year students and analysed using Hayes’s PROCESS macro (Model 7) with 5,000 bootstrap samples. The principal findings are threefold.</w:t>
      </w:r>
      <w:r/>
    </w:p>
    <w:p>
      <w:r/>
      <w:r>
        <w:t>First, a positive classroom innovation atmosphere has a statistically significant direct effect on creativity (β = 0.182, p &lt; 0.01). The authors used established scales (adapted versions of Fraser’s Classroom Environment Scale and Runco’s creativity measure) and report satisfactory reliability and convergent validity for the constructs; common‑method bias checks and robustness tests were also carried out.</w:t>
      </w:r>
      <w:r/>
    </w:p>
    <w:p>
      <w:r/>
      <w:r>
        <w:t>Second, the classroom atmosphere promotes creativity indirectly via two channels. Instrumental AI application , defined in the paper as the use of tools that assist data analysis, adaptive tutoring and process optimisation rather than generative content creation , mediates the relationship (indirect effect = 0.0267, 95% CI [0.0034, 0.0598]). A larger indirect path runs through intrinsic motivation (indirect effect = 0.1029, 95% CI [0.0281, 0.1820]). The authors interpret these results through three mechanisms by which AI can aid creative work: cognitive offloading, cognitive augmentation and enabling low‑cost exploration of alternative solutions. They also emphasise that an innovation‑supportive classroom stimulates interest and engagement, which in turn fuels creative performance.</w:t>
      </w:r>
      <w:r/>
    </w:p>
    <w:p>
      <w:r/>
      <w:r>
        <w:t>Third, self‑efficacy meaningfully conditions these effects. Self‑efficacy positively moderates the relationships between classroom innovation atmosphere and both AI use (β = 0.339, p &lt; 0.05) and intrinsic motivation (β = 0.083, p &lt; 0.05). Conditional process analyses show that the indirect effect via AI is significant only at average or higher levels of self‑efficacy; the moderated mediation index for AI was 0.0373 (95% CI [0.0023, 0.1195]). The moderated mediation index for intrinsic motivation was larger (0.6574, 95% CI [0.2512, 0.8066]), indicating that confidence in one’s capabilities substantially amplifies how an innovation‑oriented classroom converts motivational gains into creative outcomes. In short, the classroom environment and available technology are more likely to translate into creative activity when students believe they can succeed.</w:t>
      </w:r>
      <w:r/>
    </w:p>
    <w:p>
      <w:r/>
      <w:r>
        <w:t>The paper situates these empirical results in broader education and policy contexts. It cites OECD and UNESCO reports to frame creativity as a core future competency and notes international efforts , Singapore’s Smart Nation initiative and the EU’s Horizon 2020 funding , as examples of systemic moves to embed digital tools in education. The authors argue their integrated framework advances prior single‑ or dual‑pathway studies by combining environment, technology, motivation and belief into a dynamic triadic model consistent with social cognitive theory.</w:t>
      </w:r>
      <w:r/>
    </w:p>
    <w:p>
      <w:r/>
      <w:r>
        <w:t>Practical recommendations flowing from the study are operational and prescriptive. Educators are advised to design “human–machine collaboration” tasks that make clear AI’s supportive role, provide concise usage guidelines tied to academic integrity, offer micro‑training to lower technical anxiety, segment complex projects to create visible progress, and incorporate process‑based assessment that documents students’ AI workflows and critical interpretation of tool outputs. Institutional actions recommended include consolidating licensed teaching tools on unified platforms, creating seed funds for AI‑enabled pedagogic innovation, and showcasing student projects that exemplify productive AI use.</w:t>
      </w:r>
      <w:r/>
    </w:p>
    <w:p>
      <w:r/>
      <w:r>
        <w:t>The authors acknowledge limitations: the sample is regionally concentrated and cross‑sectional, the study emphasises instrumental rather than generative AI, and control variables were limited to basic demographics. They call for broader, longitudinal and theoretically plural follow‑ups , for example, incorporating Technology Acceptance Model constructs, computational creativity metrics, and research that differentiates effects of generative versus instrumental AI on classroom dynamics.</w:t>
      </w:r>
      <w:r/>
    </w:p>
    <w:p>
      <w:r/>
      <w:r>
        <w:t>In sum, the report provides empirical evidence that an innovation‑oriented classroom can foster creativity not only by shaping the immediate learning climate but by encouraging responsible AI use and activating intrinsic motivation , effects that are substantially strengthened when students possess higher self‑efficacy. The findings underscore that technology and environment alone are insufficient: building student confidence and embedding reflective, integrity‑focused practices around AI are key to realising the promise of AI‑empowered creative learning.</w:t>
      </w:r>
      <w:r/>
    </w:p>
    <w:p>
      <w:r/>
      <w:r>
        <w:t xml:space="preserve">Source: </w:t>
      </w:r>
      <w:hyperlink r:id="rId9">
        <w:r>
          <w:rPr>
            <w:color w:val="0000EE"/>
            <w:u w:val="single"/>
          </w:rPr>
          <w:t>Noah Wire Services</w:t>
        </w:r>
      </w:hyperlink>
      <w:r/>
    </w:p>
    <w:p>
      <w:pPr>
        <w:pStyle w:val="Heading2"/>
      </w:pPr>
      <w:r>
        <w:t>Bibliography</w:t>
      </w:r>
      <w:r/>
    </w:p>
    <w:p>
      <w:r/>
      <w:r>
        <w:t xml:space="preserve">1. </w:t>
      </w:r>
      <w:hyperlink r:id="rId10">
        <w:r>
          <w:rPr>
            <w:color w:val="0000EE"/>
            <w:u w:val="single"/>
          </w:rPr>
          <w:t>https://www.frontiersin.org/journals/psychology/articles/10.3389/fpsyg.2025.1735425/full</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ontiersin.org/journals/psychology/articles/10.3389/fpsyg.2025.1735425/fu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