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valuation strategies evolve as integration and robustness become key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Canadian corporate landscape increasingly treats valuation, financial due diligence, purchase price allocation and forecasting as strategic, interlinked disciplines rather than discrete compliance tasks. According to the Aviaan Accounting description of its Canada services, those four pillars, business valuation, financial due diligence (FDD), purchase price allocation (PPA) and financial forecasting, are essential for extracting and protecting shareholder value across sectors from natural resources to technology.</w:t>
      </w:r>
      <w:r/>
    </w:p>
    <w:p>
      <w:r/>
      <w:r>
        <w:t>Valuation in Canada is as much judgement as computation, and market participants stress the need for technical credentials and defensible methods. The Canadian body for valuation professionals, the CBV Institute, sets practice standards and educational requirements for Chartered Business Valuators (CBVs), who are widely used by acquirers, lenders and courts for complex and high‑stakes assignments. Industry firms from large accountancy networks to specialist boutiques echo that best practice combines discounted cash‑flow models with market multiples and asset approaches while tailoring assumptions to sector specifics such as commodity cycles or intellectual property value. PwC Canada, for example, advertises CBV‑led valuations and fairness opinions for public and private transactions, tax and litigation uses.</w:t>
      </w:r>
      <w:r/>
    </w:p>
    <w:p>
      <w:r/>
      <w:r>
        <w:t>Rigour matters because valuations frequently face regulatory and legal scrutiny. Government interactions, from the Canada Revenue Agency to the courts, mean that valuation reports must be auditable and defensible. Aviaan notes the need to meet Canadian accounting frameworks (either ASPE/NCOS for private companies or IFRS for public entities) when establishing “fair market value”, and independent providers underline the same point. PIN.ca, a specialist valuation firm, advertises court‑ready reports for shareholder disputes, franchisee oppression and other contentious matters, highlighting that engagement scope and expertise affect outcomes and cost.</w:t>
      </w:r>
      <w:r/>
    </w:p>
    <w:p>
      <w:r/>
      <w:r>
        <w:t>Financial due diligence is the principal shield against post‑closing surprises. The central FDD task is the analysis of “Quality of Earnings” to strip out non‑recurring items, related‑party effects and accounting anomalies so that buyers can assess sustainable EBITDA and negotiate price adjustments. Effective diligence also examines working capital cycles and the composition of net debt to avoid immediate cash calls after closing. RLB LLP and other advisory firms emphasise this combination of accounting forensics and commercial testing; sellers increasingly commission vendor due diligence to accelerate processes and reduce buyer pushback.</w:t>
      </w:r>
      <w:r/>
    </w:p>
    <w:p>
      <w:r/>
      <w:r>
        <w:t>Post‑closing, purchase price allocation converts the negotiated price into recognised assets and liabilities. PPA frequently uncovers intangible assets not recorded on the seller’s balance sheet, customer relationships, brands, patents or internally developed software, which drive amortisation, deferred tax outcomes and future impairment testing. Professional practice demands careful identification and valuation of those intangible items, with PwC and similar firms highlighting cross‑standard experience to manage ASPE/IFRS differences and audit dialogue.</w:t>
      </w:r>
      <w:r/>
    </w:p>
    <w:p>
      <w:r/>
      <w:r>
        <w:t>Forecasting has moved from static projections to dynamic scenario modelling. In a higher‑rate, geopolitically unsettled environment, boards and lenders expect models that allow rapid sensitivity testing, a modest shift in interest rates or a supply‑chain shock should be capable of being stress‑tested across cash‑flow, covenant and capital‑structure consequences. Aviaan presents scenario modelling, bespoke dashboards and capital‑structure optimisation as client tools; banks and credit providers also require forecasts that demonstrate repayment capacity. At the other end of the market, tools such as Canadian Western Bank’s online valuation calculator can give SMEs quick indicative values, but advisers caution that simple tools cannot replace accredited, transaction‑grade valuations when stakes are material.</w:t>
      </w:r>
      <w:r/>
    </w:p>
    <w:p>
      <w:r/>
      <w:r>
        <w:t>Competitive and cost considerations shape where companies seek help. Specialist firms advertise court‑grade reports and focused pricing, PIN.ca notes fees typically ranging from modest estimates up to comprehensive expert reports, while large professional service firms promote breadth and integration across tax, audit and advisory work. Avalon Accounting and other advisory firms underline that valuation is not a regulated activity in Canada, so the choice of practitioner should be guided by credentials such as the CBV designation and by the assignment’s end‑use.</w:t>
      </w:r>
      <w:r/>
    </w:p>
    <w:p>
      <w:r/>
      <w:r>
        <w:t>Practical results: Aviaan’s account of an Ontario healthcare‑technology acquisition illustrates the connected workflow the market advocates. According to the account, a Toronto private equity buyer faced a C$75m offer for a software target with rapidly growing revenues. Aviaan says its hybrid valuation and FDD work revealed that 20% of recent growth derived from one‑off implementation fees rather than recurring SaaS income, enabling a negotiated C$5m price reduction. Post‑closing PPA identified software and customer list intangibles, and a five‑year forecast supported a C$20m bank facility, the company claims. Such case studies show how valuation, diligence, allocation and forecasting combine to protect buyers and underpin financing, though they are presented as vendor material and should be read with that context in mind.</w:t>
      </w:r>
      <w:r/>
    </w:p>
    <w:p>
      <w:r/>
      <w:r>
        <w:t>Taken together, market evidence points to three practical imperatives for Canadian transactions. First, retain appropriately credentialed valuers, CBVs or equivalent, when reports will be relied on by courts, tax authorities or sophisticated counterparties. Second, integrate FDD with valuation early so that adjustments to earnings and working capital are reflected in pricing and PPA outcomes. Third, build forward‑looking, scenario‑based models that satisfy lenders and boards and that allow rapid response to changing macro and sector conditions.</w:t>
      </w:r>
      <w:r/>
    </w:p>
    <w:p>
      <w:r/>
      <w:r>
        <w:t>The multiplicity of service providers, from large professional services firms to specialists and digital tools, offers buyers and sellers a range of options. Selecting the right mix depends on transaction complexity, regulatory exposure and dispute risk. As Canadian deals grow in sophistication, the emphasis is shifting from calculating a number to producing a robust narrative: a defensible valuation, a transparent diligence trail, a compliant allocation of purchase price and a resilient set of forecasts that together make the case for value creation or preservation.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https://aviaanaccounting.com/services-devaluation-dentreprises-de-due-diligence-dallocation-du-prix-dacquisition-et-de-previsions-financieres-au-canada/</w:t>
        </w:r>
      </w:hyperlink>
      <w:r>
        <w:t xml:space="preserve"> - Please view link - unable to able to access data</w:t>
      </w:r>
      <w:r/>
    </w:p>
    <w:p>
      <w:pPr>
        <w:pStyle w:val="ListNumber"/>
        <w:spacing w:line="240" w:lineRule="auto"/>
        <w:ind w:left="720"/>
      </w:pPr>
      <w:r/>
      <w:hyperlink r:id="rId11">
        <w:r>
          <w:rPr>
            <w:color w:val="0000EE"/>
            <w:u w:val="single"/>
          </w:rPr>
          <w:t>https://pin.ca/</w:t>
        </w:r>
      </w:hyperlink>
      <w:r>
        <w:t xml:space="preserve"> - PIN.ca offers unbiased, strategically engineered business valuation services in Canada, specialising in high-stakes situations such as shareholder disputes, franchisee oppression, and unfair liquidated damages. With over 28 years of experience, they provide court-ready reports built for negotiations and courtrooms, ensuring compliance with Canadian and international case law. Their services include valuations for partnership disputes, divorce settlements, purchase and sale values, and CRA Section 85 estate freezes. Fees range from $1,500 to $15,000, with an average of $3,500. Financing options are available on a case-by-case basis.</w:t>
      </w:r>
      <w:r/>
    </w:p>
    <w:p>
      <w:pPr>
        <w:pStyle w:val="ListNumber"/>
        <w:spacing w:line="240" w:lineRule="auto"/>
        <w:ind w:left="720"/>
      </w:pPr>
      <w:r/>
      <w:hyperlink r:id="rId12">
        <w:r>
          <w:rPr>
            <w:color w:val="0000EE"/>
            <w:u w:val="single"/>
          </w:rPr>
          <w:t>https://cbvinstitute.com/</w:t>
        </w:r>
      </w:hyperlink>
      <w:r>
        <w:t xml:space="preserve"> - The CBV Institute is Canada's premier professional organisation for Chartered Business Valuators (CBVs), who are experts in business valuation, corporate finance, and litigation support. Established in 1971, the institute sets practice standards, educational requirements, and ethical guidelines for its members. CBVs are internationally recognised for their judgment and analytical training, serving in various sectors including valuation firms, venture capital, accounting firms, and financial institutions. The institute offers resources for finding a CBV and information on becoming one.</w:t>
      </w:r>
      <w:r/>
    </w:p>
    <w:p>
      <w:pPr>
        <w:pStyle w:val="ListNumber"/>
        <w:spacing w:line="240" w:lineRule="auto"/>
        <w:ind w:left="720"/>
      </w:pPr>
      <w:r/>
      <w:hyperlink r:id="rId13">
        <w:r>
          <w:rPr>
            <w:color w:val="0000EE"/>
            <w:u w:val="single"/>
          </w:rPr>
          <w:t>https://www.pwc.com/ca/en/services/deals/valuations.html</w:t>
        </w:r>
      </w:hyperlink>
      <w:r>
        <w:t xml:space="preserve"> - PwC Canada provides comprehensive business valuation services, including valuations and fairness opinions for public market transactions, corporate tax, estate and succession planning, and purchase price allocation. Their Chartered Business Valuators (CBVs) offer independent, objective, expert valuation advice for various purposes, such as shareholder disputes, commercial litigation, loan security assessments, expropriations, and securities and investor litigation. PwC's services cater to both straightforward and highly complex valuation needs, ensuring compliance with Canadian, US, and international accounting standards.</w:t>
      </w:r>
      <w:r/>
    </w:p>
    <w:p>
      <w:pPr>
        <w:pStyle w:val="ListNumber"/>
        <w:spacing w:line="240" w:lineRule="auto"/>
        <w:ind w:left="720"/>
      </w:pPr>
      <w:r/>
      <w:hyperlink r:id="rId14">
        <w:r>
          <w:rPr>
            <w:color w:val="0000EE"/>
            <w:u w:val="single"/>
          </w:rPr>
          <w:t>https://www.cwbank.com/en/small-business/valuation</w:t>
        </w:r>
      </w:hyperlink>
      <w:r>
        <w:t xml:space="preserve"> - Canadian Western Bank (CWB) offers a Business Valuation Calculator designed to help business owners understand their company's value. The tool provides a free estimate in just a few minutes, assisting in making informed financial decisions, exploring business opportunities, and mitigating risks. CWB's valuation resources are available to all Canadian business owners, with additional features for clients using cwb.digital online banking. The bank aims to empower business owners with tools and resources to drive success and support their financial advisory needs.</w:t>
      </w:r>
      <w:r/>
    </w:p>
    <w:p>
      <w:pPr>
        <w:pStyle w:val="ListNumber"/>
        <w:spacing w:line="240" w:lineRule="auto"/>
        <w:ind w:left="720"/>
      </w:pPr>
      <w:r/>
      <w:hyperlink r:id="rId15">
        <w:r>
          <w:rPr>
            <w:color w:val="0000EE"/>
            <w:u w:val="single"/>
          </w:rPr>
          <w:t>https://www.rlb.ca/services/business-valuation/</w:t>
        </w:r>
      </w:hyperlink>
      <w:r>
        <w:t xml:space="preserve"> - RLB LLP offers expert business valuation services to assist buyers and sellers in making informed decisions. Their professional valuations are also useful for tax planning strategies, business disputes, and expropriation cases. Chartered Business Valuators (CBVs) at RLB provide reliable business appraisals and financial estimates, ensuring credibility and reliability in any transaction. The firm highlights the importance of engaging a business advisor to protect financial interests and offers consultations with their Financial Advisory Services team.</w:t>
      </w:r>
      <w:r/>
    </w:p>
    <w:p>
      <w:pPr>
        <w:pStyle w:val="ListNumber"/>
        <w:spacing w:line="240" w:lineRule="auto"/>
        <w:ind w:left="720"/>
      </w:pPr>
      <w:r/>
      <w:hyperlink r:id="rId16">
        <w:r>
          <w:rPr>
            <w:color w:val="0000EE"/>
            <w:u w:val="single"/>
          </w:rPr>
          <w:t>https://www.avalonaccounting.ca/blog/business-valuations</w:t>
        </w:r>
      </w:hyperlink>
      <w:r>
        <w:t xml:space="preserve"> - Avalon Accounting provides a comprehensive guide to business valuations in Canada, emphasising the importance of choosing a qualified valuator, typically a Chartered Business Valuator (CBV). They note that business valuation is not a restricted activity in Canada, meaning there are no required qualifications for someone to offer this service. However, highly experienced designated accountants, often with a CBV designation, are commonly sought for valuations. The firm also discusses the role of the Canadian Institute of Chartered Business Valuators in setting professional standards and codes of conduct.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services-devaluation-dentreprises-de-due-diligence-dallocation-du-prix-dacquisition-et-de-previsions-financieres-au-canada/" TargetMode="External"/><Relationship Id="rId11" Type="http://schemas.openxmlformats.org/officeDocument/2006/relationships/hyperlink" Target="https://pin.ca/" TargetMode="External"/><Relationship Id="rId12" Type="http://schemas.openxmlformats.org/officeDocument/2006/relationships/hyperlink" Target="https://cbvinstitute.com/" TargetMode="External"/><Relationship Id="rId13" Type="http://schemas.openxmlformats.org/officeDocument/2006/relationships/hyperlink" Target="https://www.pwc.com/ca/en/services/deals/valuations.html" TargetMode="External"/><Relationship Id="rId14" Type="http://schemas.openxmlformats.org/officeDocument/2006/relationships/hyperlink" Target="https://www.cwbank.com/en/small-business/valuation" TargetMode="External"/><Relationship Id="rId15" Type="http://schemas.openxmlformats.org/officeDocument/2006/relationships/hyperlink" Target="https://www.rlb.ca/services/business-valuation/" TargetMode="External"/><Relationship Id="rId16" Type="http://schemas.openxmlformats.org/officeDocument/2006/relationships/hyperlink" Target="https://www.avalonaccounting.ca/blog/business-valu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