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food distribution sector faces a structural shake-up driven by valuation complexities and regulatory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French food distribution sector, from specialised wholesalers to neighbourhood franchise networks, is undergoing a structural shift that is reshaping how deals are valued and executed. Volatile commodity prices, evolving regulation under successive EGAlim laws and the rise of omnichannel logistics have made rigorous financial scrutiny essential. According to the Aviaan Management Consultants overview provided, services for valuation, pitch decks and financial due diligence have become indispensable for owners seeking to sell and for investors entering this complex market.</w:t>
      </w:r>
      <w:r/>
    </w:p>
    <w:p>
      <w:r/>
      <w:r>
        <w:t>Valuation: beyond a simple multiple</w:t>
      </w:r>
      <w:r/>
    </w:p>
    <w:p>
      <w:r/>
      <w:r>
        <w:t>Aviaan argues that valuing a food distributor in France cannot be reduced to applying a single multiple to net profit. The sector’s operational specifics, perishability, inventory rotation and logistics assets such as fleets and warehouses, require a multidimensional approach. The firm describes three core methodologies it uses: market-based comparables (EV/EBITDA), discounted cash flow (DCF) for growth or tech-enabled players, and asset-based valuation where property or fleet ownership is material.</w:t>
      </w:r>
      <w:r/>
    </w:p>
    <w:p>
      <w:r/>
      <w:r>
        <w:t>Market context supports that variety. Industry guides for food distributors typically suggest EBITDA multiples in the mid-single digits for standard distribution businesses, with DealStream citing a 4.0x–6.0x adjusted EBITDA “rules of thumb” range, while sector valuation studies show substantial variation by subsector. According to a Kroll report covering food and beverage valuation data as of 31 December 2023, median EV/EBITDA multiples differ widely across subsectors, illustrating that dairy, bakery or beverage businesses can command markedly different valuations depending on margins and growth profiles. These benchmarks underline why a one-size-fits-all multiple would be misleading.</w:t>
      </w:r>
      <w:r/>
    </w:p>
    <w:p>
      <w:r/>
      <w:r>
        <w:t>Key value drivers and adjustment items</w:t>
      </w:r>
      <w:r/>
    </w:p>
    <w:p>
      <w:r/>
      <w:r>
        <w:t>Aviaan highlights specific KPIs that materially affect value in France: commercial margin stability in the face of inflation, supplier network quality (notably dependence on national brands versus private-label lines), and regulatory compliance with sanitary and commercial-transparency rules. The firm stresses routine adjustments to EBITDA for non-recurring or owner-specific items, state aids, excessive owner remuneration or personal real-estate investments that distort operating cash flow, and models sensitivity to cost shocks such as a 5% rise in energy or fuel costs.</w:t>
      </w:r>
      <w:r/>
    </w:p>
    <w:p>
      <w:r/>
      <w:r>
        <w:t>These emphases echo broader market practice. The Kroll and FCF valuation benchmarks point to the importance of sector-specific profitability and cash-flow dynamics in setting multiples, while practical valuation guides and transaction monitors repeatedly recommend normalising EBITDA and stress-testing working-capital assumptions for distribution businesses.</w:t>
      </w:r>
      <w:r/>
    </w:p>
    <w:p>
      <w:r/>
      <w:r>
        <w:t>Pitch decks: reframing a “traditional” sector</w:t>
      </w:r>
      <w:r/>
    </w:p>
    <w:p>
      <w:r/>
      <w:r>
        <w:t>In a sector often perceived as traditional, Aviaan recommends pitch decks that foreground innovation, scalability and margin protection. Their suggested structure includes a granular analysis of the French market (segmentation by organic/local/premium), an operational and last‑mile logistics blueprint, realistic financial history and projections, and a leadership narrative demonstrating procurement and network-management expertise.</w:t>
      </w:r>
      <w:r/>
    </w:p>
    <w:p>
      <w:r/>
      <w:r>
        <w:t>Aviaan claims that narrative-led data presentation, “storytelling of data”, and clear demonstration of repeatability or geographic roll‑out capability can justify higher multiples by convincing investors of growth optionality. That approach mirrors broader deal-market practice, where positioning a distributor as a scalable, tech-enabled operator (for example, integrating LogTech solutions) can move a target closer to DCF-driven premium valuations rather than pure comparables.</w:t>
      </w:r>
      <w:r/>
    </w:p>
    <w:p>
      <w:r/>
      <w:r>
        <w:t>Due diligence: where deals are won or lost</w:t>
      </w:r>
      <w:r/>
    </w:p>
    <w:p>
      <w:r/>
      <w:r>
        <w:t>The firm portrays financial due diligence as the “moment of truth”. Aviaan lists recurring audit focal points for French food distributors: stock valuation (avoiding overstatement of perishable or obsolete inventory), revenue quality and customer concentration risk, social and labour liabilities in a labour‑intensive industry, and the rigor of margin-supporting supplier contracts and rebate arrangements.</w:t>
      </w:r>
      <w:r/>
    </w:p>
    <w:p>
      <w:r/>
      <w:r>
        <w:t>Practical examples support that focus. The lead case study supplied by Aviaan, an acquisition of a bio wholesaler in Île‑de‑France, illustrates how normalising owner cash usage raised EBITDA by 22%, how repositioning the story attracted institutional interest, and how addressing stock-rotation inefficiencies and a post-acquisition operational plan delivered a price of €5.5 million and early margin improvement for the buyer.</w:t>
      </w:r>
      <w:r/>
    </w:p>
    <w:p>
      <w:r/>
      <w:r>
        <w:t>Regulatory and sectoral headwinds</w:t>
      </w:r>
      <w:r/>
    </w:p>
    <w:p>
      <w:r/>
      <w:r>
        <w:t>Recent regulatory evolution matters. The law strengthening balance in commercial relations between suppliers and distributors, commonly referred to in France as part of the EGAlim reform package and updated in 2023, has altered negotiation dynamics between suppliers and large retailers, with new mechanisms affecting contract terms and supply flexibility. According to the French legislative overview, measures enacted on 30 March 2023 include provisions designed to rebalance bargaining power and limit abusive commercial practices, a factor that can affect supplier bargaining leverage and contract risk in valuations.</w:t>
      </w:r>
      <w:r/>
    </w:p>
    <w:p>
      <w:r/>
      <w:r>
        <w:t>Public company reporting also signals sector pressures. The LDC Group annual reporting highlights how EGAlim-era pricing and sector-specific dynamics can influence turnover and volumes in major food producers and distributors, underscoring that regulatory change is not merely theoretical but affects commercial outcomes and margin trajectories for market participants.</w:t>
      </w:r>
      <w:r/>
    </w:p>
    <w:p>
      <w:r/>
      <w:r>
        <w:t>How advisers and buyers should act</w:t>
      </w:r>
      <w:r/>
    </w:p>
    <w:p>
      <w:r/>
      <w:r>
        <w:t>Aviaan positions itself as a transaction architect, offering vendor and buyer due diligence, world‑class pitch decks and sensitivity-tested valuations. The firm emphasises granular normalisation of reported results, rigorous working-capital analysis and supplier‑contract audits as ways to reduce later “deal‑breaker” surprises. Industry data and valuation monitors support that advisers who combine market comparables, DCF analysis and asset valuation are better placed to explain and defend price ranges to buyers and sellers.</w:t>
      </w:r>
      <w:r/>
    </w:p>
    <w:p>
      <w:r/>
      <w:r>
        <w:t>Conclusion</w:t>
      </w:r>
      <w:r/>
    </w:p>
    <w:p>
      <w:r/>
      <w:r>
        <w:t>The French food distribution market remains resilient but complex. Transaction success increasingly depends on translating operational detail into a transparent investment thesis: normalised cash flows, defensible growth narratives and tightly evidenced working‑capital and stock assumptions. Aviaan’s outline of valuation methodologies, pitch‑deck priorities and diligence checklists reflects the practices recommended by valuation studies and transaction guides; buyers and sellers that adopt that discipline will be better positioned to convert sector-specific risk into strategic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https://aviaanaccounting.com/services-devaluation-de-pitch-deck-et-de-due-diligence-financiere-pour-la-distribution-alimentaire-en-france/</w:t>
        </w:r>
      </w:hyperlink>
      <w:r>
        <w:t xml:space="preserve"> - Please view link - unable to able to access data</w:t>
      </w:r>
      <w:r/>
    </w:p>
    <w:p>
      <w:pPr>
        <w:pStyle w:val="ListNumber"/>
        <w:spacing w:line="240" w:lineRule="auto"/>
        <w:ind w:left="720"/>
      </w:pPr>
      <w:r/>
      <w:hyperlink r:id="rId11">
        <w:r>
          <w:rPr>
            <w:color w:val="0000EE"/>
            <w:u w:val="single"/>
          </w:rPr>
          <w:t>https://www.kroll.com/-/media/kroll-images/pdfs/m-and-a/food-beverage-ma-insights-winter-2024-valuation-data.pdf</w:t>
        </w:r>
      </w:hyperlink>
      <w:r>
        <w:t xml:space="preserve"> - This report provides valuation data for the food and beverage industry as of December 31, 2023. It presents median EV/EBITDA multiples by subsector, highlighting variations across different segments such as dairy, bakery, and non-alcoholic beverages. The data indicates that companies in the dairy subsector have a median EV/EBITDA multiple of 21.0x, while those in the bakery subsector have a median of 17.7x. The report also includes historical trends and five-year medians, offering insights into the valuation dynamics within the industry.</w:t>
      </w:r>
      <w:r/>
    </w:p>
    <w:p>
      <w:pPr>
        <w:pStyle w:val="ListNumber"/>
        <w:spacing w:line="240" w:lineRule="auto"/>
        <w:ind w:left="720"/>
      </w:pPr>
      <w:r/>
      <w:hyperlink r:id="rId12">
        <w:r>
          <w:rPr>
            <w:color w:val="0000EE"/>
            <w:u w:val="single"/>
          </w:rPr>
          <w:t>https://www.sec.gov/Archives/edgar/data/1609653/000156761916002955/s001395x3_ex99c9.htm</w:t>
        </w:r>
      </w:hyperlink>
      <w:r>
        <w:t xml:space="preserve"> - This document presents a discounted cash flow (DCF) valuation for Cdiscount, a French e-commerce company, as of January 1, 2016. The valuation includes detailed financial projections, assumptions, and sensitivity analyses. It outlines the enterprise value and equity value, providing insights into the company's financial performance and market position at that time. The report serves as a comprehensive example of applying DCF methodology to assess the value of a French company in the e-commerce sector.</w:t>
      </w:r>
      <w:r/>
    </w:p>
    <w:p>
      <w:pPr>
        <w:pStyle w:val="ListNumber"/>
        <w:spacing w:line="240" w:lineRule="auto"/>
        <w:ind w:left="720"/>
      </w:pPr>
      <w:r/>
      <w:hyperlink r:id="rId13">
        <w:r>
          <w:rPr>
            <w:color w:val="0000EE"/>
            <w:u w:val="single"/>
          </w:rPr>
          <w:t>https://dealstream.com/industry-guides/other-food-distributors/rules-of-thumb</w:t>
        </w:r>
      </w:hyperlink>
      <w:r>
        <w:t xml:space="preserve"> - This guide offers valuation benchmarks for food distributors, focusing on EBITDA multiples. It states that food distributors typically trade between 4.0x and 6.0x Adjusted EBITDA, with stronger businesses commanding higher multiples. The guide emphasizes the importance of considering both revenue and profitability metrics when valuing food distribution companies, highlighting that sales multiples alone may not fully capture a company's financial health.</w:t>
      </w:r>
      <w:r/>
    </w:p>
    <w:p>
      <w:pPr>
        <w:pStyle w:val="ListNumber"/>
        <w:spacing w:line="240" w:lineRule="auto"/>
        <w:ind w:left="720"/>
      </w:pPr>
      <w:r/>
      <w:hyperlink r:id="rId14">
        <w:r>
          <w:rPr>
            <w:color w:val="0000EE"/>
            <w:u w:val="single"/>
          </w:rPr>
          <w:t>https://fr.wikipedia.org/wiki/Loi_tendant_%C3%A0_renforcer_l%E2%80%99%C3%A9quilibre_dans_les_relations_commerciales_entre_fournisseurs_et_distributeurs</w:t>
        </w:r>
      </w:hyperlink>
      <w:r>
        <w:t xml:space="preserve"> - This Wikipedia article provides an overview of the French law aimed at strengthening the balance in commercial relations between suppliers and distributors, known as the 'Loi Descrozaille' or 'Loi EGAlim III'. Enacted on March 30, 2023, the law seeks to rebalance the relationships between the agri-food industry and large retailers. It introduces measures to address disagreements in negotiations, allowing suppliers greater flexibility, such as the ability to suspend deliveries without notice under certain conditions.</w:t>
      </w:r>
      <w:r/>
    </w:p>
    <w:p>
      <w:pPr>
        <w:pStyle w:val="ListNumber"/>
        <w:spacing w:line="240" w:lineRule="auto"/>
        <w:ind w:left="720"/>
      </w:pPr>
      <w:r/>
      <w:hyperlink r:id="rId15">
        <w:r>
          <w:rPr>
            <w:color w:val="0000EE"/>
            <w:u w:val="single"/>
          </w:rPr>
          <w:t>https://www.fcf.de/wp-content/uploads/FCF-Valuation-Monitor-2023Q3.pdf</w:t>
        </w:r>
      </w:hyperlink>
      <w:r>
        <w:t xml:space="preserve"> - The FCF Valuation Monitor provides valuation multiples for various companies as of September 30, 2023. It includes data on share prices, operating cash flow per share, and other financial metrics. The report offers insights into the financial performance and valuation of companies across different sectors, serving as a resource for understanding market trends and valuation benchmarks.</w:t>
      </w:r>
      <w:r/>
    </w:p>
    <w:p>
      <w:pPr>
        <w:pStyle w:val="ListNumber"/>
        <w:spacing w:line="240" w:lineRule="auto"/>
        <w:ind w:left="720"/>
      </w:pPr>
      <w:r/>
      <w:hyperlink r:id="rId16">
        <w:r>
          <w:rPr>
            <w:color w:val="0000EE"/>
            <w:u w:val="single"/>
          </w:rPr>
          <w:t>https://www.ldc.fr/app/uploads/2025/08/RAPPORT-ANNUEL-24-25-EN-vdef.pdf</w:t>
        </w:r>
      </w:hyperlink>
      <w:r>
        <w:t xml:space="preserve"> - The annual report of LDC Group for the fiscal year 2024/25 provides detailed financial information, including turnover, operating profit, and capital spending. It highlights the group's performance in the poultry sector in France, noting a turnover of €4,404.1 million, a 1.1% decrease in value, and a 3.2% increase in volumes year on year. The report also discusses the impact of the French EGALIM Act on pricing and the group's strategic actions to safeguard animal diversity and support local breeders.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iaanaccounting.com/services-devaluation-de-pitch-deck-et-de-due-diligence-financiere-pour-la-distribution-alimentaire-en-france/" TargetMode="External"/><Relationship Id="rId11" Type="http://schemas.openxmlformats.org/officeDocument/2006/relationships/hyperlink" Target="https://www.kroll.com/-/media/kroll-images/pdfs/m-and-a/food-beverage-ma-insights-winter-2024-valuation-data.pdf" TargetMode="External"/><Relationship Id="rId12" Type="http://schemas.openxmlformats.org/officeDocument/2006/relationships/hyperlink" Target="https://www.sec.gov/Archives/edgar/data/1609653/000156761916002955/s001395x3_ex99c9.htm" TargetMode="External"/><Relationship Id="rId13" Type="http://schemas.openxmlformats.org/officeDocument/2006/relationships/hyperlink" Target="https://dealstream.com/industry-guides/other-food-distributors/rules-of-thumb" TargetMode="External"/><Relationship Id="rId14" Type="http://schemas.openxmlformats.org/officeDocument/2006/relationships/hyperlink" Target="https://fr.wikipedia.org/wiki/Loi_tendant_%C3%A0_renforcer_l%E2%80%99%C3%A9quilibre_dans_les_relations_commerciales_entre_fournisseurs_et_distributeurs" TargetMode="External"/><Relationship Id="rId15" Type="http://schemas.openxmlformats.org/officeDocument/2006/relationships/hyperlink" Target="https://www.fcf.de/wp-content/uploads/FCF-Valuation-Monitor-2023Q3.pdf" TargetMode="External"/><Relationship Id="rId16" Type="http://schemas.openxmlformats.org/officeDocument/2006/relationships/hyperlink" Target="https://www.ldc.fr/app/uploads/2025/08/RAPPORT-ANNUEL-24-25-EN-vde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