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freight invoice validation to close the procurement enforcement gap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Contracts are intended to convert negotiation wins into predictable, auditable payments. Yet across global logistics networks many procurement teams find a widening gap between agreed freight terms and what lands on their supplier invoices. Small, routine mismatches , an accessorial posted in error, a discount that fails to apply, a conditional rate interpreted differently , accumulate into material leakage, damaged stakeholder confidence and weaker negotiating leverage.</w:t>
      </w:r>
      <w:r/>
    </w:p>
    <w:p>
      <w:r/>
      <w:r>
        <w:t>Complexity and fragmentation lie at the heart of the problem. Modern freight agreements embed lane‑ and mode‑specific rates, layered accessorials and fuel surcharges, conditional price rules and exception clauses. Billing systems, however, differ by carrier, geography and mode; invoice line‑formats rarely contain the full rate logic or service conditions required to validate charges automatically; and manual interpretation invites inconsistency. According to ICC Logistics, commonly observed causes include negotiated discounts not being applied, misclassified services and the simple proliferation of surcharges , each small error feeding larger losses over time.</w:t>
      </w:r>
      <w:r/>
    </w:p>
    <w:p>
      <w:r/>
      <w:r>
        <w:t>The financial scale of that erosion is striking. Industry analysis shows manual freight invoice reconciliation can cost organisations in excess of $55,000 a year and still miss as much as 40% of billing errors, exposing firms to substantial unrecovered overcharges. Phacet Labs finds many buyers recover only 60–80% of their negotiated procurement savings because invoices are not systematically checked against contracted rates. Separately, carrier‑facing reviews flag an “execution gap” averaging 5–15% between negotiated tariffs and billed amounts, driven by billing mistakes, misapplied discounts and surcharge creep.</w:t>
      </w:r>
      <w:r/>
    </w:p>
    <w:p>
      <w:r/>
      <w:r>
        <w:t>For procurement leaders the consequences extend beyond the immediate line‑item cost. Unverified invoices undermine the credibility of reported savings with finance and the executive team, limit willingness to commit volumes, and weaken the foundation for progressive sourcing strategies. In short, negotiation without repeatable enforcement leaves performance as an assertion rather than a fact.</w:t>
      </w:r>
      <w:r/>
    </w:p>
    <w:p>
      <w:r/>
      <w:r>
        <w:t>The response many leading teams are adopting reframes freight audit and payment from a transactional back‑office task into a control discipline centred on contract operationalisation. Industry commentators and vendors argue that automating validation , translating complex contract terms into rules that execute at the line‑item level, applying them consistently across carriers, regions and modes, and producing audit‑ready documentation , is the only practical way to scale enforcement and recover hidden savings. OutcomeDriven and other practitioner analyses point to measurable operational gains from such automation: fewer manual checks, faster exception resolution and sustained productivity improvements. TraxTech and similar providers emphasise the importance of “smart” invoice matching that verifies shipment legitimacy against purchase orders and authorised transport requests to prevent payments for unauthorised or inaccurate charges.</w:t>
      </w:r>
      <w:r/>
    </w:p>
    <w:p>
      <w:r/>
      <w:r>
        <w:t>One vendor, nVision Global, positions freight audit as a discipline built around global contract enforcement, claiming its platform converts negotiated agreements into executable audit rules and applies them uniformly across modes and regions. The company says this approach delivers line‑level compliance validation, automated enforcement of complex rate logic and transparent performance visibility for carriers. Presented as an architectural benefit, the ability to generate finance‑grade documentation and to flag disputes pre‑payment is central to their proposition.</w:t>
      </w:r>
      <w:r/>
    </w:p>
    <w:p>
      <w:r/>
      <w:r>
        <w:t>While providers differ in capability and footprint, the market evidence suggests three practical priorities for procurement teams seeking to close the execution gap. First, establish a single source of truth for contract terms and ensure those terms are codified in machine‑readable rules. Second, implement automated invoice validation that checks every line against contracted logic rather than relying on spot checks or after‑the‑fact reconciliations. Third, build reporting that ties dispute and recovery outcomes back into sourcing metrics so future negotiations are grounded in verified execution data.</w:t>
      </w:r>
      <w:r/>
    </w:p>
    <w:p>
      <w:r/>
      <w:r>
        <w:t>Where firms have taken these steps, recovery and control follow. Automated processes reduce the burden and cost of reconciliation, increase the proportion of errors caught before payment, and create defensible savings figures for finance and senior leadership. Conversely, organisations that accept invoice variance as inevitable continue to forfeit negotiated value and sacrifice the credibility needed to pursue more sophisticated procurement programmes.</w:t>
      </w:r>
      <w:r/>
    </w:p>
    <w:p>
      <w:r/>
      <w:r>
        <w:t>In an environment of growing transportation complexity, fragmented billing practices and heightened financial scrutiny, enforcement ceases to be optional. Converting negotiated contracts into consistently applied, audit‑ready controls is the mechanism that turns procurement rhetoric into measurable, defendable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https://corporate.nvisionglobal.com/when-contracted-freight-rates-dont-tell-the-full-story/</w:t>
        </w:r>
      </w:hyperlink>
      <w:r>
        <w:t xml:space="preserve"> - Please view link - unable to able to access data</w:t>
      </w:r>
      <w:r/>
    </w:p>
    <w:p>
      <w:pPr>
        <w:pStyle w:val="ListNumber"/>
        <w:spacing w:line="240" w:lineRule="auto"/>
        <w:ind w:left="720"/>
      </w:pPr>
      <w:r/>
      <w:hyperlink r:id="rId11">
        <w:r>
          <w:rPr>
            <w:color w:val="0000EE"/>
            <w:u w:val="single"/>
          </w:rPr>
          <w:t>https://tableflow.com/blog/freight-invoice-reconciliation</w:t>
        </w:r>
      </w:hyperlink>
      <w:r>
        <w:t xml:space="preserve"> - This article discusses the challenges of manual freight invoice reconciliation, highlighting that it can cost over $55,000 annually and miss up to 40% of billing errors. It advocates for automation to improve efficiency and recover overcharges, emphasizing that manual processes are inefficient and prone to errors, leading to significant financial losses.</w:t>
      </w:r>
      <w:r/>
    </w:p>
    <w:p>
      <w:pPr>
        <w:pStyle w:val="ListNumber"/>
        <w:spacing w:line="240" w:lineRule="auto"/>
        <w:ind w:left="720"/>
      </w:pPr>
      <w:r/>
      <w:hyperlink r:id="rId12">
        <w:r>
          <w:rPr>
            <w:color w:val="0000EE"/>
            <w:u w:val="single"/>
          </w:rPr>
          <w:t>https://www.phacetlabs.com/blog/supplier-pricing-compliance</w:t>
        </w:r>
      </w:hyperlink>
      <w:r>
        <w:t xml:space="preserve"> - The article addresses the issue of supplier pricing compliance, noting that companies often recover only 60–80% of their negotiated procurement savings due to billing discrepancies. It emphasizes the importance of systematically checking invoices against agreed rates to ensure full recovery of negotiated savings and maintain procurement credibility.</w:t>
      </w:r>
      <w:r/>
    </w:p>
    <w:p>
      <w:pPr>
        <w:pStyle w:val="ListNumber"/>
        <w:spacing w:line="240" w:lineRule="auto"/>
        <w:ind w:left="720"/>
      </w:pPr>
      <w:r/>
      <w:hyperlink r:id="rId13">
        <w:r>
          <w:rPr>
            <w:color w:val="0000EE"/>
            <w:u w:val="single"/>
          </w:rPr>
          <w:t>https://www.zdscs.com/blog/carrier-contract-red-flags-2026-renewals/</w:t>
        </w:r>
      </w:hyperlink>
      <w:r>
        <w:t xml:space="preserve"> - This piece highlights the 'Execution Gap' between negotiated rates and actual invoiced amounts, which averages 5–15% due to billing errors, misapplied discounts, and surcharge proliferation. It underscores the need for auditing freight invoices to identify overcharges and negotiate more effectively with carriers.</w:t>
      </w:r>
      <w:r/>
    </w:p>
    <w:p>
      <w:pPr>
        <w:pStyle w:val="ListNumber"/>
        <w:spacing w:line="240" w:lineRule="auto"/>
        <w:ind w:left="720"/>
      </w:pPr>
      <w:r/>
      <w:hyperlink r:id="rId14">
        <w:r>
          <w:rPr>
            <w:color w:val="0000EE"/>
            <w:u w:val="single"/>
          </w:rPr>
          <w:t>https://outcomedriven.us/unlock-hidden-savings/</w:t>
        </w:r>
      </w:hyperlink>
      <w:r>
        <w:t xml:space="preserve"> - The article explores how enforcing contract compliance through process automation can lead to operational efficiency improvements, including streamlined procurement processes and productivity gains. It discusses the benefits of automating compliance checks to reduce manual work and errors in procurement.</w:t>
      </w:r>
      <w:r/>
    </w:p>
    <w:p>
      <w:pPr>
        <w:pStyle w:val="ListNumber"/>
        <w:spacing w:line="240" w:lineRule="auto"/>
        <w:ind w:left="720"/>
      </w:pPr>
      <w:r/>
      <w:hyperlink r:id="rId15">
        <w:r>
          <w:rPr>
            <w:color w:val="0000EE"/>
            <w:u w:val="single"/>
          </w:rPr>
          <w:t>https://www.traxtech.com/blog/smart-invoice-matching-for-precise-freight-cost-control</w:t>
        </w:r>
      </w:hyperlink>
      <w:r>
        <w:t xml:space="preserve"> - This article discusses the challenges of manual validation processes in detecting discrepancies or unauthorized charges in freight invoices before payment. It highlights the risks of overpayment and the importance of automated systems to verify shipment legitimacy against purchase orders and authorized transportation requests.</w:t>
      </w:r>
      <w:r/>
    </w:p>
    <w:p>
      <w:pPr>
        <w:pStyle w:val="ListNumber"/>
        <w:spacing w:line="240" w:lineRule="auto"/>
        <w:ind w:left="720"/>
      </w:pPr>
      <w:r/>
      <w:hyperlink r:id="rId16">
        <w:r>
          <w:rPr>
            <w:color w:val="0000EE"/>
            <w:u w:val="single"/>
          </w:rPr>
          <w:t>https://icclogistics.com/blog/invoice-trap-why-freight-invoice-errors-happen/</w:t>
        </w:r>
      </w:hyperlink>
      <w:r>
        <w:t xml:space="preserve"> - The article examines common causes of freight invoice errors, such as rates billed above contract terms when negotiated discounts fail to apply. It emphasizes that even small errors can accumulate into significant financial losses over time and discusses the prevalence of billing inaccuracies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nvisionglobal.com/when-contracted-freight-rates-dont-tell-the-full-story/" TargetMode="External"/><Relationship Id="rId11" Type="http://schemas.openxmlformats.org/officeDocument/2006/relationships/hyperlink" Target="https://tableflow.com/blog/freight-invoice-reconciliation" TargetMode="External"/><Relationship Id="rId12" Type="http://schemas.openxmlformats.org/officeDocument/2006/relationships/hyperlink" Target="https://www.phacetlabs.com/blog/supplier-pricing-compliance" TargetMode="External"/><Relationship Id="rId13" Type="http://schemas.openxmlformats.org/officeDocument/2006/relationships/hyperlink" Target="https://www.zdscs.com/blog/carrier-contract-red-flags-2026-renewals/" TargetMode="External"/><Relationship Id="rId14" Type="http://schemas.openxmlformats.org/officeDocument/2006/relationships/hyperlink" Target="https://outcomedriven.us/unlock-hidden-savings/" TargetMode="External"/><Relationship Id="rId15" Type="http://schemas.openxmlformats.org/officeDocument/2006/relationships/hyperlink" Target="https://www.traxtech.com/blog/smart-invoice-matching-for-precise-freight-cost-control" TargetMode="External"/><Relationship Id="rId16" Type="http://schemas.openxmlformats.org/officeDocument/2006/relationships/hyperlink" Target="https://icclogistics.com/blog/invoice-trap-why-freight-invoice-errors-hap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