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Risk segmentation transforms commercial debt recovery with AI-driven strategies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According to the announcement from Southwest Recovery Services, commercial debt recovery is moving from blunt, uniform tactics to finely tuned risk segmentation that matches collection intensity to debtor profiles. The firm argues this approach conserves creditor resources, raises recovery rates and preserves ongoing commercial relationships by deploying distinct strategies for low-, medium- and high-risk accounts.</w:t>
      </w:r>
      <w:r/>
    </w:p>
    <w:p>
      <w:r/>
      <w:r>
        <w:t>Industry data underscores why speed and segmentation matter. According to Intuit's 2025 Small Business Late Payments Report, more than half of small businesses are awaiting funds from unpaid invoices and many face overdue balances within weeks, increasing the likelihood of cash‑flow stress. Independent analyses show collectability declines sharply as receivables age: early-stage delinquencies typically yield the highest recovery rates, while accounts beyond a year frequently drop into single‑digit prospects for full collection. Leib Solutions' assessment of receivable collectibility by age and benchmarks compiled by EagleRock CFO both stress that prompt, differentiated action materially reduces write‑offs and shortens Days Sales Outstanding.</w:t>
      </w:r>
      <w:r/>
    </w:p>
    <w:p>
      <w:r/>
      <w:r>
        <w:t>In practical terms, segmentation separates accounts that merit light-touch, relationship-focused engagement from those requiring structured negotiation or immediate escalation. For low‑risk debtors , organisations with solid payment histories experiencing temporary timing issues , the emphasis is on courteous reminders, flexible arrangements and incentives to settle quickly so future business is not compromised. Middle-tier cases often demand thorough financial assessment and scheduled repayment plans to secure a realistic path to settlement. For accounts flagged as high risk, where insolvency, fraud or prolonged silence is likely, collectors concentrate on asset discovery, skip tracing and legal preparedness to protect creditor claims.</w:t>
      </w:r>
      <w:r/>
    </w:p>
    <w:p>
      <w:r/>
      <w:r>
        <w:t>Technological tools now underpin these differentiated workflows. The announcement notes growing use of AI‑assisted scorecards and portfolio analytics to prioritise cases and automate follow‑up for predictable payers. This mirrors observed market trends: accounts‑receivable automation vendors and advisory pieces from Chaser and Runway highlight how automation and AR‑aging dashboards deliver faster sight of exposures, reduce manual workload and ensure critical aged items receive prompt human attention. Such systems also feed data that refines segmentation models over time, improving prediction of which accounts will respond to softer tactics and which will not.</w:t>
      </w:r>
      <w:r/>
    </w:p>
    <w:p>
      <w:r/>
      <w:r>
        <w:t>The operational and legal contours of B2B collection also differ from consumer work, and the article stresses those distinctions. Commercial invoices frequently represent substantial sums and communications take place between corporate functions , accounts payable, controllers or finance directors , requiring a diplomatic, professionally attuned approach. B2B recoveries are not regulated by the FDCPA, providing more tactical latitude than consumer collections, but legal constraints remain important. LegalClarity’s review of account aging and statutes of limitation emphasises that state‑specific recovery windows and procedural rules can alter the calculus for pursuing older debts, so timeliness and jurisdictional awareness are essential.</w:t>
      </w:r>
      <w:r/>
    </w:p>
    <w:p>
      <w:r/>
      <w:r>
        <w:t>For many creditors, outsourcing to specialised recovery firms offers a commercial advantage beyond recoveries alone. According to the announcement, third‑party agencies create a buffer that can preserve client relationships by removing direct confrontation from vendor‑buyer interactions. Practical guidance from BYL Collections and other practitioner sources supports this view, advising creditors to escalate to external specialists when internal efforts stall to avoid damaging future trade while still seeking resolution.</w:t>
      </w:r>
      <w:r/>
    </w:p>
    <w:p>
      <w:r/>
      <w:r>
        <w:t>Ultimately, the shift to risk segmentation blends behavioural insight, technology and legal know‑how to protect working capital more efficiently. Benchmarks and industry research consistently show that early, targeted interventions reduce DSO and lower write‑off rates; firms that combine automated monitoring with tailored human engagement stand the best chance of recovering value without severing commercial ties.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http://prsync.com/southwest-recovery-services/commercial-debt-collection-agency-practices-risk-segmentation-explained-5178957/</w:t>
        </w:r>
      </w:hyperlink>
      <w:r>
        <w:t xml:space="preserve"> - Please view link - unable to able to access data</w:t>
      </w:r>
      <w:r/>
    </w:p>
    <w:p>
      <w:pPr>
        <w:pStyle w:val="ListNumber"/>
        <w:spacing w:line="240" w:lineRule="auto"/>
        <w:ind w:left="720"/>
      </w:pPr>
      <w:r/>
      <w:hyperlink r:id="rId11">
        <w:r>
          <w:rPr>
            <w:color w:val="0000EE"/>
            <w:u w:val="single"/>
          </w:rPr>
          <w:t>https://www.leibsolutions.com/a-r-collectibility-by-age/</w:t>
        </w:r>
      </w:hyperlink>
      <w:r>
        <w:t xml:space="preserve"> - This article discusses how the likelihood of collecting B2B invoices decreases as they age. It provides a breakdown of collectibility percentages based on the age of receivables, highlighting the importance of timely collection efforts to prevent write-offs. The piece also emphasizes the need for businesses to act promptly when debts become overdue to maintain cash flow and financial stability.</w:t>
      </w:r>
      <w:r/>
    </w:p>
    <w:p>
      <w:pPr>
        <w:pStyle w:val="ListNumber"/>
        <w:spacing w:line="240" w:lineRule="auto"/>
        <w:ind w:left="720"/>
      </w:pPr>
      <w:r/>
      <w:hyperlink r:id="rId12">
        <w:r>
          <w:rPr>
            <w:color w:val="0000EE"/>
            <w:u w:val="single"/>
          </w:rPr>
          <w:t>https://www.eaglerockcfo.com/blog/research/accounts-receivable-collections-benchmarks</w:t>
        </w:r>
      </w:hyperlink>
      <w:r>
        <w:t xml:space="preserve"> - This comprehensive report presents key benchmarks for accounts receivable and collections, including average B2B payment terms, collection probabilities at various stages of delinquency, and bad debt write-off averages. It underscores the financial challenges posed by overdue invoices and the necessity for businesses to implement effective collection strategies to mitigate cash flow issues.</w:t>
      </w:r>
      <w:r/>
    </w:p>
    <w:p>
      <w:pPr>
        <w:pStyle w:val="ListNumber"/>
        <w:spacing w:line="240" w:lineRule="auto"/>
        <w:ind w:left="720"/>
      </w:pPr>
      <w:r/>
      <w:hyperlink r:id="rId13">
        <w:r>
          <w:rPr>
            <w:color w:val="0000EE"/>
            <w:u w:val="single"/>
          </w:rPr>
          <w:t>https://www.chaserhq.com/blog/b2b-debt-collection</w:t>
        </w:r>
      </w:hyperlink>
      <w:r>
        <w:t xml:space="preserve"> - This article explores the challenges of B2B debt collection, emphasizing the importance of automation in improving collection efficiency. It discusses how integrating accounts receivable automation software can streamline processes, enhance communication, and provide better visibility into receivables, thereby reducing the time and resources spent on manual collection efforts.</w:t>
      </w:r>
      <w:r/>
    </w:p>
    <w:p>
      <w:pPr>
        <w:pStyle w:val="ListNumber"/>
        <w:spacing w:line="240" w:lineRule="auto"/>
        <w:ind w:left="720"/>
      </w:pPr>
      <w:r/>
      <w:hyperlink r:id="rId14">
        <w:r>
          <w:rPr>
            <w:color w:val="0000EE"/>
            <w:u w:val="single"/>
          </w:rPr>
          <w:t>https://runway.com/resources/glossary/ar-aging</w:t>
        </w:r>
      </w:hyperlink>
      <w:r>
        <w:t xml:space="preserve"> - This resource defines accounts receivable (AR) aging and provides benchmarks for healthy AR aging. It outlines the typical distribution of receivables across different aging buckets and discusses the implications of overdue accounts on cash flow and financial health, highlighting the importance of monitoring and managing AR aging effectively.</w:t>
      </w:r>
      <w:r/>
    </w:p>
    <w:p>
      <w:pPr>
        <w:pStyle w:val="ListNumber"/>
        <w:spacing w:line="240" w:lineRule="auto"/>
        <w:ind w:left="720"/>
      </w:pPr>
      <w:r/>
      <w:hyperlink r:id="rId15">
        <w:r>
          <w:rPr>
            <w:color w:val="0000EE"/>
            <w:u w:val="single"/>
          </w:rPr>
          <w:t>https://www.bylcollections.com/blog/how-to-resolve-past-due-invoices-when-your-b2b-customer-wont-pay</w:t>
        </w:r>
      </w:hyperlink>
      <w:r>
        <w:t xml:space="preserve"> - This article offers strategies for resolving past-due invoices when B2B customers fail to pay. It discusses the importance of understanding payment terms, maintaining open communication with clients, and when to consider involving third-party collection services to recover outstanding debts and preserve business relationships.</w:t>
      </w:r>
      <w:r/>
    </w:p>
    <w:p>
      <w:pPr>
        <w:pStyle w:val="ListNumber"/>
        <w:spacing w:line="240" w:lineRule="auto"/>
        <w:ind w:left="720"/>
      </w:pPr>
      <w:r/>
      <w:hyperlink r:id="rId16">
        <w:r>
          <w:rPr>
            <w:color w:val="0000EE"/>
            <w:u w:val="single"/>
          </w:rPr>
          <w:t>https://legalclarity.org/what-is-account-aging-and-its-legal-implications/</w:t>
        </w:r>
      </w:hyperlink>
      <w:r>
        <w:t xml:space="preserve"> - This article explains the concept of account aging and its legal implications. It discusses how businesses estimate uncollectible accounts based on the age of receivables and the importance of understanding state-specific statutes of limitations on debt recovery, which can affect the ability to collect on older debts.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prsync.com/southwest-recovery-services/commercial-debt-collection-agency-practices-risk-segmentation-explained-5178957/" TargetMode="External"/><Relationship Id="rId11" Type="http://schemas.openxmlformats.org/officeDocument/2006/relationships/hyperlink" Target="https://www.leibsolutions.com/a-r-collectibility-by-age/" TargetMode="External"/><Relationship Id="rId12" Type="http://schemas.openxmlformats.org/officeDocument/2006/relationships/hyperlink" Target="https://www.eaglerockcfo.com/blog/research/accounts-receivable-collections-benchmarks" TargetMode="External"/><Relationship Id="rId13" Type="http://schemas.openxmlformats.org/officeDocument/2006/relationships/hyperlink" Target="https://www.chaserhq.com/blog/b2b-debt-collection" TargetMode="External"/><Relationship Id="rId14" Type="http://schemas.openxmlformats.org/officeDocument/2006/relationships/hyperlink" Target="https://runway.com/resources/glossary/ar-aging" TargetMode="External"/><Relationship Id="rId15" Type="http://schemas.openxmlformats.org/officeDocument/2006/relationships/hyperlink" Target="https://www.bylcollections.com/blog/how-to-resolve-past-due-invoices-when-your-b2b-customer-wont-pay" TargetMode="External"/><Relationship Id="rId16" Type="http://schemas.openxmlformats.org/officeDocument/2006/relationships/hyperlink" Target="https://legalclarity.org/what-is-account-aging-and-its-legal-implica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