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Tribal casinos embrace innovation and cultural integration at IGA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Market suppliers aiming to equip tribal casinos for the next decade used the Indian Gaming Tradeshow &amp; Convention in San Diego to introduce new products, services and completed projects that together sketch how design, operations and technology are being reframed across Indian Country.</w:t>
      </w:r>
      <w:r/>
    </w:p>
    <w:p>
      <w:r/>
      <w:r>
        <w:t>According to the report by IndianGaming, procurement specialist Aurora Procurement Solutions showcased its end-to-end FF&amp;E and OSE services, offering single-source delivery from specification through installation for resort interiors. “Aurora Procurement Solutions is proud to exhibit at IGA 2026, where we’ll showcase our FF&amp;E procurement, delivery, and installation capabilities. We look forward to partnering with tribal nations to support their economic growth and community-driven initiatives.” Catherine Mika, the company’s EVP &amp; GM, pointed to recent large-scale room renovation work with Mille Lacs Corporate Ventures as an example of that capability.</w:t>
      </w:r>
      <w:r/>
    </w:p>
    <w:p>
      <w:r/>
      <w:r>
        <w:t>Design firms emphasised cultural integration and long-term planning as core differentiators. Bergman Walls &amp; Associates used its presence to stress immersive, place-based casino and resort design and the value of close consultation with tribal leadership. John Hinton, BWA’s Director of Native American Projects, said: “I always look forward to attending the IGA Show. The opportunity to catch up with connections and develop new relationships and attend a forum with its finger on the pulse of the industry is invaluable.” The firm’s Snoqualmie Casino &amp; Hotel expansion, featuring a 10‑storey hotel tower, enlarged casino floor and a 2,000‑seat entertainment centre, was highlighted as a recent transformational project.</w:t>
      </w:r>
      <w:r/>
    </w:p>
    <w:p>
      <w:r/>
      <w:r>
        <w:t>Cuningham, a national architecture and interiors practice, framed its booth around the industry’s shifting demand drivers: changing demographics, the rise of online gaming and technology-led experiences. According to Cuningham’s public materials, the firm is translating those pressures into designs that marry operational resilience with cultural storytelling, citing projects such as Wildhorse Resort &amp; Casino’s tower expansion and the newly opened Acorn Ridge Casino in California as illustrations.</w:t>
      </w:r>
      <w:r/>
    </w:p>
    <w:p>
      <w:r/>
      <w:r>
        <w:t>Specialist suppliers pointed to practical product innovation. Gasser Chair Company presented new seating lines from entry-level slot stools to ergonomic high-limit chairs and cited recent installations at properties including Hard Rock Hotel &amp; Casino Tejon and Acorn Ridge Casino as proof points. JCM Global demonstrated transaction and floor‑operations technologies, bill validators, mobile-wallet connectivity, count-room automation and digital signage, positioning those systems as ways to tighten security and lift guest engagement. According to JCM’s materials, its iVizion validators and Fuzion platform have been rolled out at a number of tribal properties across North America.</w:t>
      </w:r>
      <w:r/>
    </w:p>
    <w:p>
      <w:r/>
      <w:r>
        <w:t>Regulatory and security services also took centre stage. Gaming Laboratories International used the forum to emphasise its compliance and cybersecurity offerings, including the GLI Gaming Security Framework and training through GLI University. “We are honored to work with tribes across the U.S. to help them remain competitive in terms of gaming offerings, compliant in terms of regulation, and vigilant in terms of cybersecurity. There is no other firm who can provide the world-class services GLI provides, and we are excited to be at IGA and talk more about how we can help tribes of all sizes prepare for what’s next.” Kelly Myers, GLI’s Director of Government Affairs, outlined a panel examining modern internal controls and how factors such as IRS reporting thresholds, the decline of low-value coin play, and AI are reshaping audit and control design.</w:t>
      </w:r>
      <w:r/>
    </w:p>
    <w:p>
      <w:r/>
      <w:r>
        <w:t>Consultancies and systems integrators used the show to pitch strategic, revenue-facing solutions. HBG Design emphasised master planning that anticipates phased growth and multi‑purpose amenity design; the firm pointed to case studies including Ho‑Chunk Gaming Beloit and the Wawyé Oasis expansion at Gun Lake Casino Resort, which HBG says produced a measurable uplift in post‑expansion revenue. Quick Custom Intelligence promoted an agentic platform that embeds AI into daily workflows while keeping data on‑premise, citing a deeper deployment at Tulalip Resort Casino that expanded marketing and guest‑engagement capabilities. Rymax expanded its rewards catalogue at the show, underlining how curated merchandise and a robust fulfilment platform support modern loyalty programmes.</w:t>
      </w:r>
      <w:r/>
    </w:p>
    <w:p>
      <w:r/>
      <w:r>
        <w:t>Operational and infrastructure vendors outlined solutions aimed at lowering operating cost and enhancing resilience. Tarkett Hospitality emphasised tailored flooring systems and pattern customisation that can reflect tribal art and identity, showing work at 7 Cedars Hotel &amp; Casino as an example. Wipfli used its presence to explain how tribes can monetise recent changes to federal energy incentives and to showcase Salesforce-driven guest‑data platforms designed to deepen personalised service while protecting tribal data. “At the Indian Gaming Tradeshow &amp; Convention, Wipfli looks forward to highlighting solutions that deliver immediate and long-term value for tribal casinos. Our energy tax incentive services help tribal casinos leverage federal programs to offset the cost of clean energy investments like solar, geothermal, and energy storage, while Salesforce Marketing Cloud enables more personalized, data-driven patron engagement across digital channels.” Grant Eve, Wipfli partner and tribal industry lead, framed those offerings as tools for sustainability and smarter growth.</w:t>
      </w:r>
      <w:r/>
    </w:p>
    <w:p>
      <w:r/>
      <w:r>
        <w:t>Other exhibitors connected their product stories to regulatory or social needs: KlasRobinson Q.E.D. underscored the role of economic and social impact studies for land‑into‑trust and compact negotiations; TribalHub promoted Tribal‑ISAC and ongoing cybersecurity collaboration following a recent TribalHub Cybersecurity Summit; and TBE Architects highlighted large‑scale hospitality and tower renovations that blend cultural motifs with modern guest amenities.</w:t>
      </w:r>
      <w:r/>
    </w:p>
    <w:p>
      <w:r/>
      <w:r>
        <w:t>Taken together, the companies on display at IGA 2026 signalled a sector focused on integration, of culture and design, of digital systems with operations, and of sustainability with fiscal strategy. For tribal nations weighing reinvestment or new development, the trade show underlined that choices about materials, seating, payments, analytics and infrastructure are now tightly connected to competitive positioning, regulatory compliance and long‑term community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https://www.indiangaming.com/iga-2026-spotlight-on-new-products-and-services/</w:t>
        </w:r>
      </w:hyperlink>
      <w:r>
        <w:t xml:space="preserve"> - Please view link - unable to able to access data</w:t>
      </w:r>
      <w:r/>
    </w:p>
    <w:p>
      <w:pPr>
        <w:pStyle w:val="ListNumber"/>
        <w:spacing w:line="240" w:lineRule="auto"/>
        <w:ind w:left="720"/>
      </w:pPr>
      <w:r/>
      <w:hyperlink r:id="rId11">
        <w:r>
          <w:rPr>
            <w:color w:val="0000EE"/>
            <w:u w:val="single"/>
          </w:rPr>
          <w:t>https://www.bwaltd.com/</w:t>
        </w:r>
      </w:hyperlink>
      <w:r>
        <w:t xml:space="preserve"> - Bergman Walls &amp; Associates (BWA) is a full-service master planning, architectural, and interior design firm specializing in entertainment architecture, including integrated resorts, hotels, casinos, sportsbooks, sports bars, lounges, restaurants, entertainment facilities, event centers, c-stores, and mixed-use developments. Established in 1994, BWA has offices in Las Vegas, Minneapolis, and Seattle, delivering end-to-end design innovation, operational insight, and client-focused solutions. Their portfolio includes notable projects such as Caesars Palace, Snoqualmie Casino &amp; Hotel, and Golden Nugget Lake Charles.</w:t>
      </w:r>
      <w:r/>
    </w:p>
    <w:p>
      <w:pPr>
        <w:pStyle w:val="ListNumber"/>
        <w:spacing w:line="240" w:lineRule="auto"/>
        <w:ind w:left="720"/>
      </w:pPr>
      <w:r/>
      <w:hyperlink r:id="rId12">
        <w:r>
          <w:rPr>
            <w:color w:val="0000EE"/>
            <w:u w:val="single"/>
          </w:rPr>
          <w:t>https://www.cuningham.com/</w:t>
        </w:r>
      </w:hyperlink>
      <w:r>
        <w:t xml:space="preserve"> - Cuningham is a nationally recognized architecture and interior design firm dedicated to creating enduring value for its partners and the communities it serves. The firm is trusted by sovereign nations across the country, as well as by leading gaming and entertainment organizations. By harnessing knowledge-backed insights and a responsive design approach, Cuningham helps clients confidently navigate today’s dynamic, ever-changing market conditions. Their recent projects include the expansion of the Snoqualmie Casino &amp; Hotel in Snoqualmie, WA, and the development of Acorn Ridge Casino in Plymouth, CA.</w:t>
      </w:r>
      <w:r/>
    </w:p>
    <w:p>
      <w:pPr>
        <w:pStyle w:val="ListNumber"/>
        <w:spacing w:line="240" w:lineRule="auto"/>
        <w:ind w:left="720"/>
      </w:pPr>
      <w:r/>
      <w:hyperlink r:id="rId13">
        <w:r>
          <w:rPr>
            <w:color w:val="0000EE"/>
            <w:u w:val="single"/>
          </w:rPr>
          <w:t>https://www.gasserchair.com/</w:t>
        </w:r>
      </w:hyperlink>
      <w:r>
        <w:t xml:space="preserve"> - Gasser Chair Company is a leading manufacturer of casino seating solutions, offering a range of products designed for comfort, durability, and style. Their portfolio includes the Geneva, Newport, and Myra Series, each catering to different seating needs within the gaming environment. Gasser has partnered with several leading tribal properties on recent high-profile installations, delivering seating solutions that elevate both the guest experience and overall aesthetic. Notable projects include the Hard Rock Hotel &amp; Casino Tejon and Acorn Ridge Casino.</w:t>
      </w:r>
      <w:r/>
    </w:p>
    <w:p>
      <w:pPr>
        <w:pStyle w:val="ListNumber"/>
        <w:spacing w:line="240" w:lineRule="auto"/>
        <w:ind w:left="720"/>
      </w:pPr>
      <w:r/>
      <w:hyperlink r:id="rId14">
        <w:r>
          <w:rPr>
            <w:color w:val="0000EE"/>
            <w:u w:val="single"/>
          </w:rPr>
          <w:t>https://www.gaminglabs.com/</w:t>
        </w:r>
      </w:hyperlink>
      <w:r>
        <w:t xml:space="preserve"> - Gaming Laboratories International (GLI) is a global leader in testing, certification, and consulting services for the gaming industry. GLI supports tribal regulators and operators with the experience, global standards, and practical insight needed to move forward with confidence. At the Indian Gaming Tradeshow &amp; Convention 2026, GLI presented GLI Secure, which provides the highest levels of trust and protection. GLI also offers services such as GLI University training, the IRIS Slot Tracking System, and Advisory Services.</w:t>
      </w:r>
      <w:r/>
    </w:p>
    <w:p>
      <w:pPr>
        <w:pStyle w:val="ListNumber"/>
        <w:spacing w:line="240" w:lineRule="auto"/>
        <w:ind w:left="720"/>
      </w:pPr>
      <w:r/>
      <w:hyperlink r:id="rId15">
        <w:r>
          <w:rPr>
            <w:color w:val="0000EE"/>
            <w:u w:val="single"/>
          </w:rPr>
          <w:t>https://www.hbg.design/</w:t>
        </w:r>
      </w:hyperlink>
      <w:r>
        <w:t xml:space="preserve"> - HBG Design is an award-winning hospitality design firm specializing in architecture, interior design, and master planning. They focus on creating sustainable, cohesive economic development ecosystems that drive long-term community growth and prosperity. At IGA 2026, HBG Design showcased their expertise in turning today’s gaming successes into sustainable developments, emphasizing the importance of strategic planning and innovative design. Their recent projects include Ho-Chunk Gaming Beloit in Beloit, WI, and Gun Lake Casino Resort for the Match-E-Be-Nash-She-Wish Band of Pottawatomi Indians.</w:t>
      </w:r>
      <w:r/>
    </w:p>
    <w:p>
      <w:pPr>
        <w:pStyle w:val="ListNumber"/>
        <w:spacing w:line="240" w:lineRule="auto"/>
        <w:ind w:left="720"/>
      </w:pPr>
      <w:r/>
      <w:hyperlink r:id="rId16">
        <w:r>
          <w:rPr>
            <w:color w:val="0000EE"/>
            <w:u w:val="single"/>
          </w:rPr>
          <w:t>https://www.jcmglobal.com/</w:t>
        </w:r>
      </w:hyperlink>
      <w:r>
        <w:t xml:space="preserve"> - JCM Global is a leading provider of innovative transaction technologies for the gaming industry. At IGA 2026, JCM showcased their award-winning bill validators, iVizion and UBA Pro, which feature best-in-class technologies proven to provide the highest levels of security and acceptance in automated transaction applications. JCM also presented its Gen5 and CouponXpress printers, the standard for thermal printers in the gaming industry, and Digital Signage Solutions, including DSS Clear transparent pony wall solutions and LED video walls.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gaming.com/iga-2026-spotlight-on-new-products-and-services/" TargetMode="External"/><Relationship Id="rId11" Type="http://schemas.openxmlformats.org/officeDocument/2006/relationships/hyperlink" Target="https://www.bwaltd.com/" TargetMode="External"/><Relationship Id="rId12" Type="http://schemas.openxmlformats.org/officeDocument/2006/relationships/hyperlink" Target="https://www.cuningham.com/" TargetMode="External"/><Relationship Id="rId13" Type="http://schemas.openxmlformats.org/officeDocument/2006/relationships/hyperlink" Target="https://www.gasserchair.com/" TargetMode="External"/><Relationship Id="rId14" Type="http://schemas.openxmlformats.org/officeDocument/2006/relationships/hyperlink" Target="https://www.gaminglabs.com/" TargetMode="External"/><Relationship Id="rId15" Type="http://schemas.openxmlformats.org/officeDocument/2006/relationships/hyperlink" Target="https://www.hbg.design/" TargetMode="External"/><Relationship Id="rId16" Type="http://schemas.openxmlformats.org/officeDocument/2006/relationships/hyperlink" Target="https://www.jcmglob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