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Southeast Asia's AI data centre boom: Innovations and future prospects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Southeast Asia is experiencing a significant surge in the establishment of AI-driven data centres, responding to escalating demand for high-performance computing across various sectors including finance, healthcare, and technology. This shift is part of the broader push for digital transformation in the region, with a focus on addressing the complexities associated with high-power density computing and energy efficiency.</w:t>
      </w:r>
      <w:r/>
    </w:p>
    <w:p>
      <w:r/>
      <w:r>
        <w:t>In a recent interview with TechNode Global, Mayank Srivastava, the Chief Executive Officer of BDx Data Centers, detailed the critical importance of scalability, sustainability, and advanced cooling technologies in the evolution of data centre development. A prime example of this development is the CGK4 AI campus, which is designed to have a capacity of up to 500 megawatts powered by renewable energy sources. Additionally, this campus utilises liquid cooling systems to effectively manage the heat generated by intensive AI workloads. Such innovations are becoming essential as businesses and governments increasingly depend on AI for applications ranging from generative AI to large-scale model training. The incorporation of NVIDIA’s GPU technology further amplifies these capabilities, enabling efficient processing of expansive datasets with minimal latency, thereby enhancing decision-making across multiple industries.</w:t>
      </w:r>
      <w:r/>
    </w:p>
    <w:p>
      <w:r/>
      <w:r>
        <w:t>Looking beyond the present, Srivastava envisions a notable uptick in demand for AI-ready infrastructure by 2025, anticipating the ascendance of real-time applications and edge computing in Southeast Asia. He predicts a remarkable shift towards data centres being entirely powered by renewable energy, as well as an increase in sovereign AI solutions to meet regulatory and security requirements. As AI adoption proliferates, considerations surrounding ethics and data privacy are expected to come to the fore, subsequently shaping how governments and enterprises navigate their digital transformation journeys.</w:t>
      </w:r>
      <w:r/>
    </w:p>
    <w:p>
      <w:r/>
      <w:r>
        <w:t>Indonesia has emerged as a focal point within these developments, particularly with the establishment of the CGK4 AI campus, also known as the first sovereign AI data centre in Indonesia. This facility is located in Jatiluhur and aims to align with Indonesia’s ambition of evolving into an AI-first nation by 2045. The campus exemplifies a concerted effort to position Indonesia as a regional AI hub, emphasising the importance of sovereign AI infrastructure for driving innovation and bolstering the digital economy. Notably, it employs advanced liquid cooling technology to meet the substantial cooling demands of AI systems, contributing to both efficiency and sustainability.</w:t>
      </w:r>
      <w:r/>
    </w:p>
    <w:p>
      <w:r/>
      <w:r>
        <w:t>This new facility distinguishes itself in the region by its scalability and technology focus. It is uniquely equipped to support high power density applications, accommodating up to 200 kilowatts per rack. The campus is also designed with exceptional connectivity capabilities, integrating seamlessly with BDx Indonesia's interconnected digital infrastructure, thus enhancing AI deployments.</w:t>
      </w:r>
      <w:r/>
    </w:p>
    <w:p>
      <w:r/>
      <w:r>
        <w:t>BDx has strategically targeted Indonesia for substantial investment, positioning itself as a key player within the country’s rapidly evolving tech ecosystem. The swift digitalisation in Indonesia, combined with a growing demand for AI and cloud services, presents a compelling opportunity for BDx. Furthermore, the government’s emphasis on data sovereignty, which mandates local data storage, adds an additional layer of strategic alignment for BDx’s initiatives.</w:t>
      </w:r>
      <w:r/>
    </w:p>
    <w:p>
      <w:r/>
      <w:r>
        <w:t>Despite facing numerous challenges in establishing operations—including power supply reliability, regulatory compliance, and the necessity for skilled AI professionals—BDx has contributed to setting a benchmark for AI infrastructure in the region. In its role, BDx not only supports local economies but also fosters wider collaboration among businesses, governments, and educational institutions to enhance talent development and resource utilisation.</w:t>
      </w:r>
      <w:r/>
    </w:p>
    <w:p>
      <w:r/>
      <w:r>
        <w:t>The CGK4 AI campus serves as a pivotal facet of BDx's vision for driving AI transformation. It emphasises sustainability alongside digital growth, employing energy-efficient and eco-friendly technologies, including liquid cooling systems and renewable energy sources. Additionally, the facility is designed with advanced AI-powered energy management tools that monitor real-time energy use, efficiently redistributing workloads and optimising resource consumption.</w:t>
      </w:r>
      <w:r/>
    </w:p>
    <w:p>
      <w:r/>
      <w:r>
        <w:t>The integration of NVIDIA’s GPU technology at the CGK4 facility further bolsters its capabilities for advanced AI training and inference, significantly impacting industries like healthcare, finance, and technology. This technology is set to facilitate innovations that range from medical diagnostics to fraud detection, thereby reinforcing Indonesia’s position within the global AI landscape.</w:t>
      </w:r>
      <w:r/>
    </w:p>
    <w:p>
      <w:r/>
      <w:r>
        <w:t xml:space="preserve">As Southeast Asia continues on its trajectory towards becoming a prominent player in AI development, BDx remains committed to growing its data centre infrastructure in alignment with regional needs. This involves scaling operations while maintaining a focus on sustainable practices and energy efficiency, reflecting an acute awareness of the environmental challenges facing the industry today. </w:t>
      </w:r>
      <w:r/>
    </w:p>
    <w:p>
      <w:r/>
      <w:r>
        <w:t>By 2025, BDx anticipates considerable advancements in AI infrastructure, most notably a shift towards data centres powered by 100 percent renewable energy and an increase in AI-ready capacities across Southeast Asia. As digital transformation continues to shape the business landscape, BDx is poised to remain at the forefront of this evolution, facilitating essential technological advancements across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https://www.channelnewsasia.com/asia/focus-southeast-asia-data-centres-ai-hot-market-investments-limits-4816111</w:t>
        </w:r>
      </w:hyperlink>
      <w:r>
        <w:t xml:space="preserve"> - This article supports the claim that Southeast Asia is experiencing a surge in AI-driven data centers due to high demand for computing power, and it highlights the challenges and opportunities in this sector.</w:t>
      </w:r>
      <w:r/>
    </w:p>
    <w:p>
      <w:pPr>
        <w:pStyle w:val="ListNumber"/>
        <w:spacing w:line="240" w:lineRule="auto"/>
        <w:ind w:left="720"/>
      </w:pPr>
      <w:r/>
      <w:hyperlink r:id="rId11">
        <w:r>
          <w:rPr>
            <w:color w:val="0000EE"/>
            <w:u w:val="single"/>
          </w:rPr>
          <w:t>https://www.co.matagorda.tx.us/upload/page/5703/texas-rules-of-civil-procedure.pdf</w:t>
        </w:r>
      </w:hyperlink>
      <w:r>
        <w:t xml:space="preserve"> - Although this document does not directly support the article's claims, it provides general information on legal procedures which can be relevant to understanding the regulatory environment for data centers and AI infrastructure.</w:t>
      </w:r>
      <w:r/>
    </w:p>
    <w:p>
      <w:pPr>
        <w:pStyle w:val="ListNumber"/>
        <w:spacing w:line="240" w:lineRule="auto"/>
        <w:ind w:left="720"/>
      </w:pPr>
      <w:r/>
      <w:hyperlink r:id="rId12">
        <w:r>
          <w:rPr>
            <w:color w:val="0000EE"/>
            <w:u w:val="single"/>
          </w:rPr>
          <w:t>https://www.vacourts.gov/courts/scv/rulesofcourt.pdf</w:t>
        </w:r>
      </w:hyperlink>
      <w:r>
        <w:t xml:space="preserve"> - Similar to the Texas rules, this document provides legal context but does not directly support the article's specific claims about AI and data centers in Southeast Asia.</w:t>
      </w:r>
      <w:r/>
    </w:p>
    <w:p>
      <w:pPr>
        <w:pStyle w:val="ListNumber"/>
        <w:spacing w:line="240" w:lineRule="auto"/>
        <w:ind w:left="720"/>
      </w:pPr>
      <w:r/>
      <w:hyperlink r:id="rId13">
        <w:r>
          <w:rPr>
            <w:color w:val="0000EE"/>
            <w:u w:val="single"/>
          </w:rPr>
          <w:t>https://www.uspto.gov/sites/default/files/documents/tmlaw.pdf</w:t>
        </w:r>
      </w:hyperlink>
      <w:r>
        <w:t xml:space="preserve"> - This document focuses on trademark rules and does not directly support the article's claims about AI and data centers in Southeast Asia.</w:t>
      </w:r>
      <w:r/>
    </w:p>
    <w:p>
      <w:pPr>
        <w:pStyle w:val="ListNumber"/>
        <w:spacing w:line="240" w:lineRule="auto"/>
        <w:ind w:left="720"/>
      </w:pPr>
      <w:r/>
      <w:hyperlink r:id="rId14">
        <w:r>
          <w:rPr>
            <w:color w:val="0000EE"/>
            <w:u w:val="single"/>
          </w:rPr>
          <w:t>https://thediplomat.com/2025/02/what-does-the-deepseek-disruption-mean-for-southeast-asia/</w:t>
        </w:r>
      </w:hyperlink>
      <w:r>
        <w:t xml:space="preserve"> - This article discusses the implications of DeepSeek's low-cost AI model for Southeast Asia's data center investments, highlighting potential shifts in the need for large-scale computing infrastructure.</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but does not directly support specific claims without additional context or articles from the site.</w:t>
      </w:r>
      <w:r/>
    </w:p>
    <w:p>
      <w:pPr>
        <w:pStyle w:val="ListNumber"/>
        <w:spacing w:line="240" w:lineRule="auto"/>
        <w:ind w:left="720"/>
      </w:pPr>
      <w:r/>
      <w:hyperlink r:id="rId15">
        <w:r>
          <w:rPr>
            <w:color w:val="0000EE"/>
            <w:u w:val="single"/>
          </w:rPr>
          <w:t>https://news.google.com/rss/articles/CBMi7wFBVV95cUxNRTVabHBtYnBmQUFRWGQtR0JnejNmaUFObzNUclRLaEN3Q2FnQTR5RnhmN0RQNjBpNGlzU2lUbkxySC1Ga2p3ZU9CUUlPTlZnSkJDb21jNlllbVdZVnR4a25vVXh6eUZZR3E1QlNaYWM0NjNrdWQtTnVPQXQ3RXRLZS1CcDMyb1FMR0hvbFp5bGM5WE9OZ3hhYUMtdlB3RXdRVUh1ZzdvSWxzWUdQQmdlT05ra3lhZHQzVG5zakFNSjFHbVdCVUJQS2NTdFRuN1QxNHY2QlZKS3lIZ2ZVNFJFbEUxLTdQTDl4ZTBURjd1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newsasia.com/asia/focus-southeast-asia-data-centres-ai-hot-market-investments-limits-4816111" TargetMode="External"/><Relationship Id="rId11" Type="http://schemas.openxmlformats.org/officeDocument/2006/relationships/hyperlink" Target="https://www.co.matagorda.tx.us/upload/page/5703/texas-rules-of-civil-procedure.pdf"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uspto.gov/sites/default/files/documents/tmlaw.pdf" TargetMode="External"/><Relationship Id="rId14" Type="http://schemas.openxmlformats.org/officeDocument/2006/relationships/hyperlink" Target="https://thediplomat.com/2025/02/what-does-the-deepseek-disruption-mean-for-southeast-asia/" TargetMode="External"/><Relationship Id="rId15" Type="http://schemas.openxmlformats.org/officeDocument/2006/relationships/hyperlink" Target="https://news.google.com/rss/articles/CBMi7wFBVV95cUxNRTVabHBtYnBmQUFRWGQtR0JnejNmaUFObzNUclRLaEN3Q2FnQTR5RnhmN0RQNjBpNGlzU2lUbkxySC1Ga2p3ZU9CUUlPTlZnSkJDb21jNlllbVdZVnR4a25vVXh6eUZZR3E1QlNaYWM0NjNrdWQtTnVPQXQ3RXRLZS1CcDMyb1FMR0hvbFp5bGM5WE9OZ3hhYUMtdlB3RXdRVUh1ZzdvSWxzWUdQQmdlT05ra3lhZHQzVG5zakFNSjFHbVdCVUJQS2NTdFRuN1QxNHY2QlZKS3lIZ2ZVNFJFbEUxLTdQTDl4ZTBURjd1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