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clean energy investments exceed US by a wide margin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China significantly cemented its position as a leading player in clean technology supply chains, investing more than $818 billion in energy transition efforts, which is more than double the United States' investment of $338 billion. The gap in investment between the two nations is expected to widen, especially following the latest policy stances of the new U.S. administration. This strategic investment difference positions China ahead in the clean energy race, potentially affecting global technological competitiveness.</w:t>
      </w:r>
      <w:r/>
    </w:p>
    <w:p>
      <w:r/>
      <w:r>
        <w:t>The increased investment in energy transition in China represents about 4.5% of its gross domestic product, a stark contrast to the United States, which allocated only 1.2%. This trend is further substantiated by the European Union's investment levels, which also surpass those of the U.S. The Energy Transition Investment Trends 2025 report by research provider BloombergNEF reveals that the total investments globally reached a record $2.1 trillion in 2024, suggesting robust and ongoing momentum towards the global energy transition.</w:t>
      </w:r>
      <w:r/>
    </w:p>
    <w:p>
      <w:r/>
      <w:r>
        <w:t>Simultaneously, the electric vehicle (EV) market is experiencing a degree of unease in the U.S. with proposed policy changes potentially jeopardising federal incentives for EV sales. Among these proposals is the elimination of a $7,500 tax credit for EV buyers, alongside plans to dismantle infrastructure support for charging stations. Despite these concerns, major automakers in the U.S. continue to push forward with their EV strategies, spurred by promising business fundamentals. Notably, Tesla's profit margins are roughly double those of traditional car manufacturers. Domestic EV sales reached 1.3 million vehicles in 2024, accounting for 8% of total sales, significantly lagging behind China’s dominance in the sector.</w:t>
      </w:r>
      <w:r/>
    </w:p>
    <w:p>
      <w:r/>
      <w:r>
        <w:t>However, as these policies unfold, major manufacturers assert their commitment to EV production amid growing consumer preferences for environmentally friendly vehicles and improvements in battery technologies. The competitive landscape is shifting, with American manufacturers recognising the need to remain agile to keep pace with their Chinese counterparts, who currently exert strong influence over global EV markets.</w:t>
      </w:r>
      <w:r/>
    </w:p>
    <w:p>
      <w:r/>
      <w:r>
        <w:t>Amid these discussions, a pivotal occurrence from a Chinese startup named DeepSeek emerged, which has disrupted the artificial intelligence (AI) space by creating an efficient open-source AI model. This AI model reportedly performs comparably to leading U.S. models but with substantially lower costs and reduced power requirements. However, the implications of this development have raised several questions concerning its long-term impact. While some analysts express skepticism regarding the claimed performance and potential resource implications, there is a widespread consensus that it has escalated dialogues on AI efficacy and efficiency.</w:t>
      </w:r>
      <w:r/>
    </w:p>
    <w:p>
      <w:r/>
      <w:r>
        <w:t>DeepSeek's model, although more efficient, might paradoxically fuel increased energy demands due to its potential to broaden AI adoption across varying applications. This notion aligns with the historic economic principle known as Jevons Paradox, which suggests that gains in resource efficiency can lead to increases in overall demand—potentially intensifying electricity consumption associated with the rapid expansion of AI technologies.</w:t>
      </w:r>
      <w:r/>
    </w:p>
    <w:p>
      <w:r/>
      <w:r>
        <w:t>In the context of trade policy and market conditions, the recent announcements of tariff escalations by U.S. President Trump on imports from Mexico, Canada, and China sparked widespread volatility across global markets. While a temporary halt on certain tariffs provided brief relief, the overall climate remains unpredictable, particularly concerning the supply chains of critical materials essential for both technological and military applications.</w:t>
      </w:r>
      <w:r/>
    </w:p>
    <w:p>
      <w:r/>
      <w:r>
        <w:t>January 2025 proved to be a tumultuous month for critical materials, as reflected in the Nasdaq Sprott Critical Materials™ Index, which experienced a 2.65% rise to close at 872.04, despite the volatility influenced by various geopolitical and economic pressures. Markets initially reacted negatively to tariff announcements; however, a closer analysis indicates that critical materials have demonstrated a resilience that may foreshadow positive underlying fundamentals in the long term.</w:t>
      </w:r>
      <w:r/>
    </w:p>
    <w:p>
      <w:r/>
      <w:r>
        <w:t>In terms of specific materials, copper experienced price fluctuations driven by macroeconomic factors and trade policy uncertainties. The spot price of copper saw a modest increase, reflective of a complex interplay of domestic and international demand variables. Nickel prices, while slightly down, are projected to grow in long-term demand due to their essential role in battery manufacturing, particularly as electric vehicle technology continues to evolve.</w:t>
      </w:r>
      <w:r/>
    </w:p>
    <w:p>
      <w:r/>
      <w:r>
        <w:t>Overall, the past month's developments have heightened awareness surrounding energy transition investments, the implications of AI advancements, and the protective economic measures that characterise the current trade landscape. As the global economy adjusts to these shifts, the repercussions on supply chains, energy demands, and technological competitiveness remain critical areas for observation.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https://www.evwind.es/2025/02/23/chinese-renewable-energy-investments-hit-record-940-billion-in-2024/104553</w:t>
        </w:r>
      </w:hyperlink>
      <w:r>
        <w:t xml:space="preserve"> - This article supports the claim that China significantly invested in clean energy, reaching a record $940 billion in 2024, positioning it as a leader in the clean energy race.</w:t>
      </w:r>
      <w:r/>
    </w:p>
    <w:p>
      <w:pPr>
        <w:pStyle w:val="ListNumber"/>
        <w:spacing w:line="240" w:lineRule="auto"/>
        <w:ind w:left="720"/>
      </w:pPr>
      <w:r/>
      <w:hyperlink r:id="rId11">
        <w:r>
          <w:rPr>
            <w:color w:val="0000EE"/>
            <w:u w:val="single"/>
          </w:rPr>
          <w:t>https://www.carbonbrief.org/analysis-clean-energy-contributed-a-record-10-of-chinas-gdp-in-2024/</w:t>
        </w:r>
      </w:hyperlink>
      <w:r>
        <w:t xml:space="preserve"> - This analysis highlights China's clean energy sector contributing over 10% of its GDP in 2024, with significant investments in solar, electric vehicles, and batteries.</w:t>
      </w:r>
      <w:r/>
    </w:p>
    <w:p>
      <w:pPr>
        <w:pStyle w:val="ListNumber"/>
        <w:spacing w:line="240" w:lineRule="auto"/>
        <w:ind w:left="720"/>
      </w:pPr>
      <w:r/>
      <w:hyperlink r:id="rId12">
        <w:r>
          <w:rPr>
            <w:color w:val="0000EE"/>
            <w:u w:val="single"/>
          </w:rPr>
          <w:t>https://www.weforum.org/stories/2025/01/china-driving-advanced-energy-solutions-deployments/</w:t>
        </w:r>
      </w:hyperlink>
      <w:r>
        <w:t xml:space="preserve"> - This article showcases China's dominance in clean energy technologies, including energy storage and clean hydrogen, and its role as a global supplier of these technologies.</w:t>
      </w:r>
      <w:r/>
    </w:p>
    <w:p>
      <w:pPr>
        <w:pStyle w:val="ListNumber"/>
        <w:spacing w:line="240" w:lineRule="auto"/>
        <w:ind w:left="720"/>
      </w:pPr>
      <w:r/>
      <w:hyperlink r:id="rId13">
        <w:r>
          <w:rPr>
            <w:color w:val="0000EE"/>
            <w:u w:val="single"/>
          </w:rPr>
          <w:t>https://www.bloomberg.com/news/articles/2024-01-25/global-clean-energy-investment-hits-record-2-1-trillion</w:t>
        </w:r>
      </w:hyperlink>
      <w:r>
        <w:t xml:space="preserve"> - This report from BloombergNEF supports the claim that global clean energy investments reached a record $2.1 trillion in 2024, highlighting robust momentum in the energy transition.</w:t>
      </w:r>
      <w:r/>
    </w:p>
    <w:p>
      <w:pPr>
        <w:pStyle w:val="ListNumber"/>
        <w:spacing w:line="240" w:lineRule="auto"/>
        <w:ind w:left="720"/>
      </w:pPr>
      <w:r/>
      <w:hyperlink r:id="rId14">
        <w:r>
          <w:rPr>
            <w:color w:val="0000EE"/>
            <w:u w:val="single"/>
          </w:rPr>
          <w:t>https://www.iea.org/topics/energy-transition/</w:t>
        </w:r>
      </w:hyperlink>
      <w:r>
        <w:t xml:space="preserve"> - The International Energy Agency (IEA) provides insights into global energy transition trends, supporting the discussion on the shift towards clean energy and its implications for global competitiveness.</w:t>
      </w:r>
      <w:r/>
    </w:p>
    <w:p>
      <w:pPr>
        <w:pStyle w:val="ListNumber"/>
        <w:spacing w:line="240" w:lineRule="auto"/>
        <w:ind w:left="720"/>
      </w:pPr>
      <w:r/>
      <w:hyperlink r:id="rId15">
        <w:r>
          <w:rPr>
            <w:color w:val="0000EE"/>
            <w:u w:val="single"/>
          </w:rPr>
          <w:t>https://www.nasdaq.com/market-activity/indices/sprott-critical-materials-index</w:t>
        </w:r>
      </w:hyperlink>
      <w:r>
        <w:t xml:space="preserve"> - This index provides data on critical materials, reflecting market volatility and resilience in the face of geopolitical pressures, which is relevant to discussions on trade policies and supply chains.</w:t>
      </w:r>
      <w:r/>
    </w:p>
    <w:p>
      <w:pPr>
        <w:pStyle w:val="ListNumber"/>
        <w:spacing w:line="240" w:lineRule="auto"/>
        <w:ind w:left="720"/>
      </w:pPr>
      <w:r/>
      <w:hyperlink r:id="rId16">
        <w:r>
          <w:rPr>
            <w:color w:val="0000EE"/>
            <w:u w:val="single"/>
          </w:rPr>
          <w:t>https://news.google.com/rss/articles/CBMiuAFBVV95cUxQYS1WY3doakNzNEpZbloxVTA5UTh4RUg0ZDdid0Y0WFFQY3dNNnc3cmdEMG5xWVlZWVU2RXlsQUpqV0lveExlOGZvQm91eTU5R3RYanFCRlJsdUdUYVRiTTBmSzZVRlpfaVVZb0FqRmR4Ujh1NWtZRWZQQ3FkcUN1alVkREpWT0xYS1F6eVAzV2E3c0Nqa1FpZlBRSFk5bnJfakNvaFBON1A1d3dkdWpSalF4RjBOX2t2?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wind.es/2025/02/23/chinese-renewable-energy-investments-hit-record-940-billion-in-2024/104553" TargetMode="External"/><Relationship Id="rId11" Type="http://schemas.openxmlformats.org/officeDocument/2006/relationships/hyperlink" Target="https://www.carbonbrief.org/analysis-clean-energy-contributed-a-record-10-of-chinas-gdp-in-2024/" TargetMode="External"/><Relationship Id="rId12" Type="http://schemas.openxmlformats.org/officeDocument/2006/relationships/hyperlink" Target="https://www.weforum.org/stories/2025/01/china-driving-advanced-energy-solutions-deployments/" TargetMode="External"/><Relationship Id="rId13" Type="http://schemas.openxmlformats.org/officeDocument/2006/relationships/hyperlink" Target="https://www.bloomberg.com/news/articles/2024-01-25/global-clean-energy-investment-hits-record-2-1-trillion" TargetMode="External"/><Relationship Id="rId14" Type="http://schemas.openxmlformats.org/officeDocument/2006/relationships/hyperlink" Target="https://www.iea.org/topics/energy-transition/" TargetMode="External"/><Relationship Id="rId15" Type="http://schemas.openxmlformats.org/officeDocument/2006/relationships/hyperlink" Target="https://www.nasdaq.com/market-activity/indices/sprott-critical-materials-index" TargetMode="External"/><Relationship Id="rId16" Type="http://schemas.openxmlformats.org/officeDocument/2006/relationships/hyperlink" Target="https://news.google.com/rss/articles/CBMiuAFBVV95cUxQYS1WY3doakNzNEpZbloxVTA5UTh4RUg0ZDdid0Y0WFFQY3dNNnc3cmdEMG5xWVlZWVU2RXlsQUpqV0lveExlOGZvQm91eTU5R3RYanFCRlJsdUdUYVRiTTBmSzZVRlpfaVVZb0FqRmR4Ujh1NWtZRWZQQ3FkcUN1alVkREpWT0xYS1F6eVAzV2E3c0Nqa1FpZlBRSFk5bnJfakNvaFBON1A1d3dkdWpSalF4RjBOX2t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