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DCSA completes first interoperable electronic Bill of Lading transaction to boost global shipping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Digital Container Shipping Association (DCSA) has made a landmark achievement by successfully completing its first standards-based, interoperable electronic Bill of Lading (eBL) transaction. This breakthrough, realised through the collaboration of leading eBL solution providers, represents a pivotal step toward a more secure, scalable, and paperless global trade system.</w:t>
      </w:r>
      <w:r/>
    </w:p>
    <w:p>
      <w:r/>
      <w:r>
        <w:t>Despite the long-standing availability of digital alternatives, the adoption of eBLs has lagged due to significant challenges, notably platform fragmentation. The traditional reliance on siloed eBL platforms necessitated that all parties involved in a transaction use the same solution provider. This limitation has severely curtailed the digital transformation within the shipping industry, obstructing broader adoption necessary to realise an estimated $6.5 billion in direct cost savings and an additional $30-40 billion in annual global trade growth, as highlighted in research by McKinsey &amp; Company.</w:t>
      </w:r>
      <w:r/>
    </w:p>
    <w:p>
      <w:r/>
      <w:r>
        <w:t>The innovative transaction facilitated by DCSA underscores the effectiveness of its interoperability framework, which encompasses several critical components: the Platform Interoperability (PINT) API, a comprehensive legal framework, and a Control Tracking Registry (CTR). The PINT API enables the standardized integration and transfer of DCSA-compliant eBLs among solution providers. The legal framework establishes a multilateral agreement that standardises relationships between eBL providers and users, while the CTR acts as a secure log for tracking which platform controls each eBL, fostering the essential trust required for global commerce.</w:t>
      </w:r>
      <w:r/>
    </w:p>
    <w:p>
      <w:r/>
      <w:r>
        <w:t>John Kim, Senior Manager Digital at HMM, commented on the importance of interoperability, stating, “We recognise the value of interoperability between eBL solution providers to achieve DCSA’s ‘100% eBL by 2030’ goal. It was an incredible experience to participate in this interoperability pilot as a carrier and see eBL being sent to our shipper, Suzano, on two different platforms in real time.” This sentiment reflects the broader recognition of the need for collaboration among various stakeholders in the supply chain.</w:t>
      </w:r>
      <w:r/>
    </w:p>
    <w:p>
      <w:r/>
      <w:r>
        <w:t>Furthermore, Targe Bock, COO of Suzano Europe, affirmed the company’s commitment to innovation through its participation in this pilot, emphasising that “this achievement shows how collaboration can unlock real value and drive efficiencies across the supply chain.” The sharing of data and documentation among stakeholders is fundamental to enhancing the international shipping landscape, as noted by Bojan Čekrlić, CEO of CargoX, who remarked on the previous barriers to successful eBL adoption which have now been substantially mitigated.</w:t>
      </w:r>
      <w:r/>
    </w:p>
    <w:p>
      <w:r/>
      <w:r>
        <w:t>Alejandro Pernías, President and CEO of edoxOnline, reinforced the importance of this interoperable transaction, stating, “This fully interoperable eBL live transaction demonstrates that title-data can seamlessly be transferred digitally across multiple platforms, streamlining trade execution without relying on a single eBL provider.”</w:t>
      </w:r>
      <w:r/>
    </w:p>
    <w:p>
      <w:r/>
      <w:r>
        <w:t>Looking forward, more eBL solution providers approved by the International Group of P&amp;I Clubs (IGP&amp;I) are in the process of updating their legal frameworks and implementing interoperability components, signalling an industry-wide shift towards digitalisation. Companies like Enigio and CargoX are preparing for further interoperable transactions, which bodes well for the future of digital shipping documentation.</w:t>
      </w:r>
      <w:r/>
    </w:p>
    <w:p>
      <w:r/>
      <w:r>
        <w:t>As Niels Nuyens, Chief Product Officer at DCSA, aptly noted, “The foundation for the digital exchange of shipping documentation and data is in place.” With DCSA's standards in place, the transition to seamless eBL exchanges is firmly underway, steering the industry toward a future where documentation moves at the pace of business rather than that of traditional paper.</w:t>
      </w:r>
      <w:r/>
    </w:p>
    <w:p>
      <w:r/>
      <w:r>
        <w:t>The collaborative efforts of DCSA alongside member carriers and eBL providers reflect a shared mission to realise 100% eBL adoption by 2030. What began as a collective ambition is now manifesting as concrete progress, heralding a new era in global trade where efficiency, sustainability, and resilience are at the forefront.</w:t>
      </w:r>
      <w:r/>
    </w:p>
    <w:p>
      <w:pPr>
        <w:pBdr>
          <w:bottom w:val="single" w:sz="6" w:space="1" w:color="auto"/>
        </w:pBdr>
      </w:pPr>
      <w:r/>
    </w:p>
    <w:p>
      <w:r/>
      <w:r>
        <w:rPr>
          <w:b/>
        </w:rPr>
        <w:t>Reference Map:</w:t>
      </w:r>
      <w:r/>
      <w:r/>
    </w:p>
    <w:p>
      <w:pPr>
        <w:pStyle w:val="ListNumber"/>
        <w:numPr>
          <w:ilvl w:val="0"/>
          <w:numId w:val="14"/>
        </w:numPr>
        <w:spacing w:line="240" w:lineRule="auto"/>
        <w:ind w:left="720"/>
      </w:pPr>
      <w:r/>
      <w:r>
        <w:t xml:space="preserve">Paragraphs 1, 2, 3, 4, 6, 7, 8: Source 1 </w:t>
      </w:r>
      <w:r/>
    </w:p>
    <w:p>
      <w:pPr>
        <w:pStyle w:val="ListNumber"/>
        <w:spacing w:line="240" w:lineRule="auto"/>
        <w:ind w:left="720"/>
      </w:pPr>
      <w:r/>
      <w:r>
        <w:t xml:space="preserve">Paragraphs 2, 3: Source 2 </w:t>
      </w:r>
      <w:r/>
    </w:p>
    <w:p>
      <w:pPr>
        <w:pStyle w:val="ListNumber"/>
        <w:spacing w:line="240" w:lineRule="auto"/>
        <w:ind w:left="720"/>
      </w:pPr>
      <w:r/>
      <w:r>
        <w:t xml:space="preserve">Paragraphs 3, 4: Source 3 </w:t>
      </w:r>
      <w:r/>
    </w:p>
    <w:p>
      <w:pPr>
        <w:pStyle w:val="ListNumber"/>
        <w:spacing w:line="240" w:lineRule="auto"/>
        <w:ind w:left="720"/>
      </w:pPr>
      <w:r/>
      <w:r>
        <w:t xml:space="preserve">Paragraphs 2, 3: Source 4 </w:t>
      </w:r>
      <w:r/>
    </w:p>
    <w:p>
      <w:pPr>
        <w:pStyle w:val="ListNumber"/>
        <w:spacing w:line="240" w:lineRule="auto"/>
        <w:ind w:left="720"/>
      </w:pPr>
      <w:r/>
      <w:r>
        <w:t xml:space="preserve">Paragraph 3: Source 5 </w:t>
      </w:r>
      <w:r/>
    </w:p>
    <w:p>
      <w:pPr>
        <w:pStyle w:val="ListNumber"/>
        <w:spacing w:line="240" w:lineRule="auto"/>
        <w:ind w:left="720"/>
      </w:pPr>
      <w:r/>
      <w:r>
        <w:t xml:space="preserve">Paragraph 4, 6: Source 6 </w:t>
      </w:r>
      <w:r/>
    </w:p>
    <w:p>
      <w:pPr>
        <w:pStyle w:val="ListNumber"/>
        <w:spacing w:line="240" w:lineRule="auto"/>
        <w:ind w:left="720"/>
      </w:pPr>
      <w:r/>
      <w:r>
        <w:t xml:space="preserve">Paragraph 5: Source 7 </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https://www.marineinsight.com/shipping-news/dcsa-partners-complete-first-interoperable-digital-bill-of-lading-transaction/?utm_source=rss&amp;utm_medium=rss&amp;utm_campaign=dcsa-partners-complete-first-interoperable-digital-bill-of-lading-transaction</w:t>
        </w:r>
      </w:hyperlink>
      <w:r>
        <w:t xml:space="preserve"> - Please view link - unable to able to access data</w:t>
      </w:r>
      <w:r/>
    </w:p>
    <w:p>
      <w:pPr>
        <w:pStyle w:val="ListNumber"/>
        <w:spacing w:line="240" w:lineRule="auto"/>
        <w:ind w:left="720"/>
      </w:pPr>
      <w:r/>
      <w:hyperlink r:id="rId11">
        <w:r>
          <w:rPr>
            <w:color w:val="0000EE"/>
            <w:u w:val="single"/>
          </w:rPr>
          <w:t>https://dcsa.org/newsroom/dcsas-member-carriers-commit-to-a-fully-standardised-electronic-bill-of-lading-by-2030</w:t>
        </w:r>
      </w:hyperlink>
      <w:r>
        <w:t xml:space="preserve"> - In February 2023, the Digital Container Shipping Association (DCSA) announced that nine ocean carrier members committed to 100% adoption of a standardized electronic bill of lading (eBL) by 2030. This initiative aims to accelerate the digitalization of container trade, potentially saving $6.5 billion in direct costs and enabling $30-40 billion in annual global trade growth. The move addresses the inefficiencies and environmental impact of manual, paper-based processes in the shipping industry.</w:t>
      </w:r>
      <w:r/>
    </w:p>
    <w:p>
      <w:pPr>
        <w:pStyle w:val="ListNumber"/>
        <w:spacing w:line="240" w:lineRule="auto"/>
        <w:ind w:left="720"/>
      </w:pPr>
      <w:r/>
      <w:hyperlink r:id="rId12">
        <w:r>
          <w:rPr>
            <w:color w:val="0000EE"/>
            <w:u w:val="single"/>
          </w:rPr>
          <w:t>https://dcsa.org/standards/bill-of-lading</w:t>
        </w:r>
      </w:hyperlink>
      <w:r>
        <w:t xml:space="preserve"> - The DCSA's Bill of Lading standard seeks to eliminate paper and manual intervention in the shipping industry. By developing open-source Application Programming Interfaces (APIs), the standard enables seamless digital transfer of eBLs across different platforms and stakeholders. This approach enhances efficiency, reduces costs, and improves accuracy in shipping and logistics processes, while also preventing fraud through digital signatures and encryption technologies.</w:t>
      </w:r>
      <w:r/>
    </w:p>
    <w:p>
      <w:pPr>
        <w:pStyle w:val="ListNumber"/>
        <w:spacing w:line="240" w:lineRule="auto"/>
        <w:ind w:left="720"/>
      </w:pPr>
      <w:r/>
      <w:hyperlink r:id="rId13">
        <w:r>
          <w:rPr>
            <w:color w:val="0000EE"/>
            <w:u w:val="single"/>
          </w:rPr>
          <w:t>https://www.tradefinanceglobal.com/posts/dcsa-member-carriers-commit-to-ebls-advance-trade-digitalisation/</w:t>
        </w:r>
      </w:hyperlink>
      <w:r>
        <w:t xml:space="preserve"> - In March 2023, nine ocean carriers committed to 100% adoption of electronic bills of lading (eBLs) by 2030, with a goal of 50% adoption within five years. This commitment is a significant step toward digitalizing container trade processes, aiming to create a future that is simpler, more sustainable, and more resilient. The move addresses the challenges of interoperability and standardization in the shipping industry.</w:t>
      </w:r>
      <w:r/>
    </w:p>
    <w:p>
      <w:pPr>
        <w:pStyle w:val="ListNumber"/>
        <w:spacing w:line="240" w:lineRule="auto"/>
        <w:ind w:left="720"/>
      </w:pPr>
      <w:r/>
      <w:hyperlink r:id="rId14">
        <w:r>
          <w:rPr>
            <w:color w:val="0000EE"/>
            <w:u w:val="single"/>
          </w:rPr>
          <w:t>https://www.bimco.org/insights-and-information/general-information/20230217-ebl-commitment-dcsa</w:t>
        </w:r>
      </w:hyperlink>
      <w:r>
        <w:t xml:space="preserve"> - In February 2023, the CEOs of nine major liner companies pledged 100% adoption of electronic bills of lading (eBLs) by 2030. This commitment, announced by the Digital Container Shipping Association (DCSA), is a significant boost for the adoption of eBLs, signaling a priority shift in the shipping community toward digitalization. The move aims to streamline trade by exchanging digital certificates between parties, reducing reliance on paper documents.</w:t>
      </w:r>
      <w:r/>
    </w:p>
    <w:p>
      <w:pPr>
        <w:pStyle w:val="ListNumber"/>
        <w:spacing w:line="240" w:lineRule="auto"/>
        <w:ind w:left="720"/>
      </w:pPr>
      <w:r/>
      <w:hyperlink r:id="rId15">
        <w:r>
          <w:rPr>
            <w:color w:val="0000EE"/>
            <w:u w:val="single"/>
          </w:rPr>
          <w:t>https://www.chamber-international.com/news/latest-news/electronic-bills-of-lading-a-step-closer-with-standardised-framework/</w:t>
        </w:r>
      </w:hyperlink>
      <w:r>
        <w:t xml:space="preserve"> - In February 2025, the Digital Container Shipping Association (DCSA) finalized its standardized framework for digitized bookings and bills of lading (B/Ls). The new Booking 2.0 and Bill of Lading 3.0 standards aim to overcome the major hurdle of standardization in digitalizing B/Ls, ensuring that no single platform provider can become a gatekeeper for the technology. The standards incorporate 190 new attributes to comply with European Import Control System 2 (ICS2) standards.</w:t>
      </w:r>
      <w:r/>
    </w:p>
    <w:p>
      <w:pPr>
        <w:pStyle w:val="ListNumber"/>
        <w:spacing w:line="240" w:lineRule="auto"/>
        <w:ind w:left="720"/>
      </w:pPr>
      <w:r/>
      <w:hyperlink r:id="rId16">
        <w:r>
          <w:rPr>
            <w:color w:val="0000EE"/>
            <w:u w:val="single"/>
          </w:rPr>
          <w:t>https://www.ledgerinsights.com/dcsa-electronic-bills-of-lading-shipping-standards-blockchain/</w:t>
        </w:r>
      </w:hyperlink>
      <w:r>
        <w:t xml:space="preserve"> - The Digital Container Shipping Association (DCSA) is developing open-source standards for electronic bills of lading (eBLs) and exploring blockchain technology to secure eBL transactions. DCSA estimates that processing paper bills is three times costlier than eBLs and that the shipping industry could potentially save $4 billion a year if 50% of the market adopts eBLs by 2030. The initiative aims to address challenges in technology, legal acceptance, and collaboration among industry partners.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rineinsight.com/shipping-news/dcsa-partners-complete-first-interoperable-digital-bill-of-lading-transaction/?utm_source=rss&amp;utm_medium=rss&amp;utm_campaign=dcsa-partners-complete-first-interoperable-digital-bill-of-lading-transaction" TargetMode="External"/><Relationship Id="rId11" Type="http://schemas.openxmlformats.org/officeDocument/2006/relationships/hyperlink" Target="https://dcsa.org/newsroom/dcsas-member-carriers-commit-to-a-fully-standardised-electronic-bill-of-lading-by-2030" TargetMode="External"/><Relationship Id="rId12" Type="http://schemas.openxmlformats.org/officeDocument/2006/relationships/hyperlink" Target="https://dcsa.org/standards/bill-of-lading" TargetMode="External"/><Relationship Id="rId13" Type="http://schemas.openxmlformats.org/officeDocument/2006/relationships/hyperlink" Target="https://www.tradefinanceglobal.com/posts/dcsa-member-carriers-commit-to-ebls-advance-trade-digitalisation/" TargetMode="External"/><Relationship Id="rId14" Type="http://schemas.openxmlformats.org/officeDocument/2006/relationships/hyperlink" Target="https://www.bimco.org/insights-and-information/general-information/20230217-ebl-commitment-dcsa" TargetMode="External"/><Relationship Id="rId15" Type="http://schemas.openxmlformats.org/officeDocument/2006/relationships/hyperlink" Target="https://www.chamber-international.com/news/latest-news/electronic-bills-of-lading-a-step-closer-with-standardised-framework/" TargetMode="External"/><Relationship Id="rId16" Type="http://schemas.openxmlformats.org/officeDocument/2006/relationships/hyperlink" Target="https://www.ledgerinsights.com/dcsa-electronic-bills-of-lading-shipping-standards-blockcha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