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drives 20% growth in Southeast Asia manufacturing real estate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Manufacturing and logistics sectors in Indonesia and Vietnam are set to experience substantial growth, projected at up to 20% over the next three years. This outlook emerges as businesses increasingly focus on building resilient supply chains in response to evolving geopolitical landscapes, rather than merely reacting to short-term tariff fluctuations. According to Knight Frank’s Horizon Report, the shift from "Whiplash to Resilience" in corporate real estate reflects a broader trend among multinational companies, particularly those from mainland China, Japan, and South Korea, redirecting investments into Southeast Asia under the "China+N" strategy.</w:t>
      </w:r>
      <w:r/>
    </w:p>
    <w:p>
      <w:r/>
      <w:r>
        <w:t>This strategy allows firms to tap into cost-efficient, purpose-built industrial facilities, enabling diversification of supply chains while mitigating risks associated with dependency on Chinese manufacturing. The ongoing transformation reinforces the necessity for businesses to evolve their real estate strategies, prioritising operational durability and total-cost performance over mere footprint expansion.</w:t>
      </w:r>
      <w:r/>
    </w:p>
    <w:p>
      <w:r/>
      <w:r>
        <w:t>The temporary suspension of high tariffs—previously soaring to 145%—on the Chinese mainland has injected a layer of uncertainty into the relocation decisions of companies. Amid these fluctuating tariff scenarios, there is a marked increase in demand for flexible leasing options and adaptable logistics parks, which allow for quick response to changing conditions. Tim Armstrong, global head of occupier strategy and solutions at Knight Frank, remarked that while the short-term reductions in tariffs offer some reprieve, the fundamental change in corporate real estate practices calls for new methodologies in portfolio planning and location strategy.</w:t>
      </w:r>
      <w:r/>
    </w:p>
    <w:p>
      <w:r/>
      <w:r>
        <w:t>Christine Li, head of research for Asia-Pacific at Knight Frank, notes the acceleration towards an ‘Asia for Asia’ model which underlies the demand for industrial spaces in countries like Vietnam, India, and Indonesia. Over 65% of supply chain investments are now catering to intra-Asian consumption, thus reshaping the industrial landscape. For instance, Indonesia is expected to see a notable 15% to 20% growth in manufacturing-related real estate demand, driven particularly by sectors such as electronics and automotive.</w:t>
      </w:r>
      <w:r/>
    </w:p>
    <w:p>
      <w:r/>
      <w:r>
        <w:t>Vietnam, often viewed as a key beneficiary of the “China+N” diversification strategy, is anticipated to witness a similar increase in demand for manufacturing space, particularly from large e-commerce companies from the Chinese mainland. This burgeoning interest is pivotal, especially as Vietnam seeks to balance its growth amid external challenges, such as exposure to US tariffs that have previously impacted its trade dynamics. However, the nation’s industrial market is not without its challenges; as reported, factory closures and layoffs in competing sectors highlight the urgent need for protective industrial policies to shield local manufacturers from the influx of low-cost imports from China.</w:t>
      </w:r>
      <w:r/>
    </w:p>
    <w:p>
      <w:r/>
      <w:r>
        <w:t>The regional landscape is further complicated by rising industrial vacancy rates in key Chinese cities, intensifying focus on domestic consumption as the primary driver of industrial space absorption. Given these dynamics, Knight Frank's Global Corporate Real Estate Sentiment Index (GCRESI) illustrates the shifting perceptions within corporate real estate strategies, showcasing how companies are adapting their operational plans amidst potential market disturbances.</w:t>
      </w:r>
      <w:r/>
    </w:p>
    <w:p>
      <w:r/>
      <w:r>
        <w:t>In response to the new realities of trade policy and economic volatility, the report outlines essential strategies for navigating the complexities of the current environment:</w:t>
      </w:r>
      <w:r/>
      <w:r/>
    </w:p>
    <w:p>
      <w:pPr>
        <w:pStyle w:val="ListNumber"/>
        <w:numPr>
          <w:ilvl w:val="0"/>
          <w:numId w:val="14"/>
        </w:numPr>
        <w:spacing w:line="240" w:lineRule="auto"/>
        <w:ind w:left="720"/>
      </w:pPr>
      <w:r/>
      <w:r>
        <w:rPr>
          <w:b/>
        </w:rPr>
        <w:t>Embrace flexible lease structures</w:t>
      </w:r>
      <w:r>
        <w:t>: Shorter lease terms are becoming the norm, giving companies adaptability in uncertain times.</w:t>
      </w:r>
      <w:r/>
    </w:p>
    <w:p>
      <w:pPr>
        <w:pStyle w:val="ListNumber"/>
        <w:spacing w:line="240" w:lineRule="auto"/>
        <w:ind w:left="720"/>
      </w:pPr>
      <w:r/>
      <w:r>
        <w:rPr>
          <w:b/>
        </w:rPr>
        <w:t>Prioritise purpose-built facilities</w:t>
      </w:r>
      <w:r>
        <w:t>: Developments tailored to specific operational requirements are gaining prominence over speculative projects.</w:t>
      </w:r>
      <w:r/>
    </w:p>
    <w:p>
      <w:pPr>
        <w:pStyle w:val="ListNumber"/>
        <w:spacing w:line="240" w:lineRule="auto"/>
        <w:ind w:left="720"/>
      </w:pPr>
      <w:r/>
      <w:r>
        <w:rPr>
          <w:b/>
        </w:rPr>
        <w:t>Pursue regional self-sufficiency</w:t>
      </w:r>
      <w:r>
        <w:t>: Companies are increasingly creating redundancy within their operations to mitigate risks associated with global supply chains.</w:t>
      </w:r>
      <w:r/>
    </w:p>
    <w:p>
      <w:pPr>
        <w:pStyle w:val="ListNumber"/>
        <w:spacing w:line="240" w:lineRule="auto"/>
        <w:ind w:left="720"/>
      </w:pPr>
      <w:r/>
      <w:r>
        <w:rPr>
          <w:b/>
        </w:rPr>
        <w:t>Design for operational resilience</w:t>
      </w:r>
      <w:r>
        <w:t>: Investment in facilities that can adapt to changing needs is becoming essential for long-term viability.</w:t>
      </w:r>
      <w:r/>
    </w:p>
    <w:p>
      <w:pPr>
        <w:pStyle w:val="ListNumber"/>
        <w:spacing w:line="240" w:lineRule="auto"/>
        <w:ind w:left="720"/>
      </w:pPr>
      <w:r/>
      <w:r>
        <w:rPr>
          <w:b/>
        </w:rPr>
        <w:t>Integrate scenario planning into decision-making</w:t>
      </w:r>
      <w:r>
        <w:t>: The ability to pivot strategies based on evolving trade conditions is crucial for consistency in operations.</w:t>
      </w:r>
      <w:r/>
      <w:r/>
    </w:p>
    <w:p>
      <w:r/>
      <w:r>
        <w:t>Ultimately, the corporate real estate landscape has evolved into a crucial component of operational resilience. Companies that strategically adjust their real estate approaches are likely to maintain a competitive edge in a fluctuating global economy.</w:t>
      </w:r>
      <w:r/>
    </w:p>
    <w:p>
      <w:r/>
      <w:r>
        <w:t xml:space="preserve">This emphasis on adaptability and resilience underscores the necessity for businesses in Southeast Asia to not only respond to immediate market conditions but to reconsider their long-term operational frameworks in an increasingly interconnected and unpredictable world. </w:t>
      </w:r>
      <w:r/>
    </w:p>
    <w:p>
      <w:pPr>
        <w:pBdr>
          <w:bottom w:val="single" w:sz="6" w:space="1" w:color="auto"/>
        </w:pBdr>
      </w:pPr>
      <w:r/>
    </w:p>
    <w:p>
      <w:pPr>
        <w:pStyle w:val="Heading3"/>
      </w:pPr>
      <w:r>
        <w:t>Reference Map</w:t>
      </w:r>
      <w:r/>
      <w:r/>
    </w:p>
    <w:p>
      <w:pPr>
        <w:pStyle w:val="ListNumber"/>
        <w:numPr>
          <w:ilvl w:val="0"/>
          <w:numId w:val="15"/>
        </w:numPr>
        <w:spacing w:line="240" w:lineRule="auto"/>
        <w:ind w:left="720"/>
      </w:pPr>
      <w:r/>
      <w:r>
        <w:t>Paragraphs 1, 2, 3, 4, 5, 6</w:t>
      </w:r>
      <w:r/>
    </w:p>
    <w:p>
      <w:pPr>
        <w:pStyle w:val="ListNumber"/>
        <w:spacing w:line="240" w:lineRule="auto"/>
        <w:ind w:left="720"/>
      </w:pPr>
      <w:r/>
      <w:r>
        <w:t>Paragraphs 6, 7</w:t>
      </w:r>
      <w:r/>
    </w:p>
    <w:p>
      <w:pPr>
        <w:pStyle w:val="ListNumber"/>
        <w:spacing w:line="240" w:lineRule="auto"/>
        <w:ind w:left="720"/>
      </w:pPr>
      <w:r/>
      <w:r>
        <w:t>Paragraphs 6, 7</w:t>
      </w:r>
      <w:r/>
    </w:p>
    <w:p>
      <w:pPr>
        <w:pStyle w:val="ListNumber"/>
        <w:spacing w:line="240" w:lineRule="auto"/>
        <w:ind w:left="720"/>
      </w:pPr>
      <w:r/>
      <w:r>
        <w:t>Paragraphs 2, 6</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6"/>
        </w:numPr>
        <w:spacing w:line="240" w:lineRule="auto"/>
        <w:ind w:left="720"/>
      </w:pPr>
      <w:r/>
      <w:hyperlink r:id="rId10">
        <w:r>
          <w:rPr>
            <w:color w:val="0000EE"/>
            <w:u w:val="single"/>
          </w:rPr>
          <w:t>https://cargonow.world/trade-policy-shifts-fuel-20-industrial-space-growth-in-indonesia-and-vietnam-as-regional-supply-chains-adapt-knight-frank/</w:t>
        </w:r>
      </w:hyperlink>
      <w:r>
        <w:t xml:space="preserve"> - Please view link - unable to able to access data</w:t>
      </w:r>
      <w:r/>
    </w:p>
    <w:p>
      <w:pPr>
        <w:pStyle w:val="ListNumber"/>
        <w:spacing w:line="240" w:lineRule="auto"/>
        <w:ind w:left="720"/>
      </w:pPr>
      <w:r/>
      <w:hyperlink r:id="rId11">
        <w:r>
          <w:rPr>
            <w:color w:val="0000EE"/>
            <w:u w:val="single"/>
          </w:rPr>
          <w:t>https://www.reuters.com/markets/asia/asean-countries-face-their-own-china-shock-raychaudhuri-2025-05-15/</w:t>
        </w:r>
      </w:hyperlink>
      <w:r>
        <w:t xml:space="preserve"> - This article discusses how Southeast Asian nations, including Indonesia and Vietnam, are facing economic challenges due to China's shift in export focus from developed economies to the 'Global South'. China's exports to ASEAN reached 16.4% in 2024, surpassing its shares to the U.S. and EU, leading to concerns for regional manufacturers struggling to compete with cheap Chinese imports. The influx of low-cost Chinese goods has led to factory closures and large-scale layoffs in sectors like textiles, electronics, and automotive. ASEAN nations may increasingly pursue protective industrial policies, potentially slowing the region's trade integration.</w:t>
      </w:r>
      <w:r/>
    </w:p>
    <w:p>
      <w:pPr>
        <w:pStyle w:val="ListNumber"/>
        <w:spacing w:line="240" w:lineRule="auto"/>
        <w:ind w:left="720"/>
      </w:pPr>
      <w:r/>
      <w:hyperlink r:id="rId12">
        <w:r>
          <w:rPr>
            <w:color w:val="0000EE"/>
            <w:u w:val="single"/>
          </w:rPr>
          <w:t>https://www.reuters.com/world/asia-pacific/southeast-asia-prepares-factories-fleeing-trump-tariffs-china-2024-11-08/</w:t>
        </w:r>
      </w:hyperlink>
      <w:r>
        <w:t xml:space="preserve"> - Following Donald Trump's election victory and threats to impose high tariffs on Chinese goods, Southeast Asia is preparing for an influx of factories relocating from China. Countries like Thailand, Vietnam, and Malaysia are expected to benefit from this shift. Industrial park developers in these regions are enhancing their infrastructure to accommodate incoming businesses. While Southeast Asia stands to gain economically, there are concerns about potential tariffs on imports from the region itself, highlighting the geopolitical balancing act required.</w:t>
      </w:r>
      <w:r/>
    </w:p>
    <w:p>
      <w:pPr>
        <w:pStyle w:val="ListNumber"/>
        <w:spacing w:line="240" w:lineRule="auto"/>
        <w:ind w:left="720"/>
      </w:pPr>
      <w:r/>
      <w:hyperlink r:id="rId13">
        <w:r>
          <w:rPr>
            <w:color w:val="0000EE"/>
            <w:u w:val="single"/>
          </w:rPr>
          <w:t>https://www.reuters.com/markets/commodities/vietnams-industrial-boom-drives-global-coal-imports-new-highs-maguire-2025-02-11/</w:t>
        </w:r>
      </w:hyperlink>
      <w:r>
        <w:t xml:space="preserve"> - Vietnam's surging import and consumption of thermal coal have significantly contributed to global coal import growth. In 2024, Vietnam's thermal coal imports saw a 31% rise to 44 million metric tons, driven by the booming, power-intensive manufacturing sector. Coal remains Vietnam's primary power source, with ongoing coal-fired power project developments expected to keep consumption rising. Despite future plans for renewable energy, coal remains the dominant energy source in Vietnam, reflecting broader regional trends in Southeast Asia.</w:t>
      </w:r>
      <w:r/>
    </w:p>
    <w:p>
      <w:pPr>
        <w:pStyle w:val="ListNumber"/>
        <w:spacing w:line="240" w:lineRule="auto"/>
        <w:ind w:left="720"/>
      </w:pPr>
      <w:r/>
      <w:hyperlink r:id="rId14">
        <w:r>
          <w:rPr>
            <w:color w:val="0000EE"/>
            <w:u w:val="single"/>
          </w:rPr>
          <w:t>https://www.vietnam-briefing.com/news/vietnams-warehouse-market-foreign-investment-outlook.html/</w:t>
        </w:r>
      </w:hyperlink>
      <w:r>
        <w:t xml:space="preserve"> - Vietnam’s modern warehouse market is experiencing notable expansion, driven largely by international investors. By the end of 2023, foreign entities controlled over 75% of the warehouse and factory rental space, significantly outpacing domestic companies. The sector has seen impressive growth, with the modern logistics sector utilizing about 3.9 million square meters of space as of late 2023. This trend is expected to continue, with an anticipated annual growth rate of around 7% through 2027, driven by vigorous commercial, manufacturing, and retail activities.</w:t>
      </w:r>
      <w:r/>
    </w:p>
    <w:p>
      <w:pPr>
        <w:pStyle w:val="ListNumber"/>
        <w:spacing w:line="240" w:lineRule="auto"/>
        <w:ind w:left="720"/>
      </w:pPr>
      <w:r/>
      <w:hyperlink r:id="rId15">
        <w:r>
          <w:rPr>
            <w:color w:val="0000EE"/>
            <w:u w:val="single"/>
          </w:rPr>
          <w:t>https://www.savills.co.id/blog/article/213750/vietnam-eng/press-release---vietnam-industrial-insider-2023.aspx</w:t>
        </w:r>
      </w:hyperlink>
      <w:r>
        <w:t xml:space="preserve"> - This report provides insights into Vietnam's industrial market, highlighting a 2.6% year-on-year increase in industrial production in August 2023. The country has 397 established industrial parks covering 122,900 hectares, with an occupancy rate of over 80%. The Northern Economic Zone (NEZ) has 68 industrial parks spanning 12,000 hectares, with land prices averaging US$138 per square meter. The Southern Economic Zone (SEZ) has 122 industrial parks with a total leasable area of 24,883 hectares, and land prices averaging US$174 per square meter.</w:t>
      </w:r>
      <w:r/>
    </w:p>
    <w:p>
      <w:pPr>
        <w:pStyle w:val="ListNumber"/>
        <w:spacing w:line="240" w:lineRule="auto"/>
        <w:ind w:left="720"/>
      </w:pPr>
      <w:r/>
      <w:hyperlink r:id="rId16">
        <w:r>
          <w:rPr>
            <w:color w:val="0000EE"/>
            <w:u w:val="single"/>
          </w:rPr>
          <w:t>https://www.jll.co.id/en/trends-and-insights/research/transforming-vietnam-s-logistic-and-industrial-market-landscape</w:t>
        </w:r>
      </w:hyperlink>
      <w:r>
        <w:t xml:space="preserve"> - The article discusses the rapid growth of Vietnam's ready-built industrial and logistics market, noting that by the end of H1 2024, more than fifteen institutional investors were active in the market, up from just one in 2008. This influx has led to a significant increase in market share, with institutional investors accounting for 37% by the end of 2023. The market is projected to continue growing until 2027, with institutional investors potentially accounting for nearly half of the market by then, indicating a shift towards a more mature and structured market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now.world/trade-policy-shifts-fuel-20-industrial-space-growth-in-indonesia-and-vietnam-as-regional-supply-chains-adapt-knight-frank/" TargetMode="External"/><Relationship Id="rId11" Type="http://schemas.openxmlformats.org/officeDocument/2006/relationships/hyperlink" Target="https://www.reuters.com/markets/asia/asean-countries-face-their-own-china-shock-raychaudhuri-2025-05-15/" TargetMode="External"/><Relationship Id="rId12" Type="http://schemas.openxmlformats.org/officeDocument/2006/relationships/hyperlink" Target="https://www.reuters.com/world/asia-pacific/southeast-asia-prepares-factories-fleeing-trump-tariffs-china-2024-11-08/" TargetMode="External"/><Relationship Id="rId13" Type="http://schemas.openxmlformats.org/officeDocument/2006/relationships/hyperlink" Target="https://www.reuters.com/markets/commodities/vietnams-industrial-boom-drives-global-coal-imports-new-highs-maguire-2025-02-11/" TargetMode="External"/><Relationship Id="rId14" Type="http://schemas.openxmlformats.org/officeDocument/2006/relationships/hyperlink" Target="https://www.vietnam-briefing.com/news/vietnams-warehouse-market-foreign-investment-outlook.html/" TargetMode="External"/><Relationship Id="rId15" Type="http://schemas.openxmlformats.org/officeDocument/2006/relationships/hyperlink" Target="https://www.savills.co.id/blog/article/213750/vietnam-eng/press-release---vietnam-industrial-insider-2023.aspx" TargetMode="External"/><Relationship Id="rId16" Type="http://schemas.openxmlformats.org/officeDocument/2006/relationships/hyperlink" Target="https://www.jll.co.id/en/trends-and-insights/research/transforming-vietnam-s-logistic-and-industrial-market-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