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IMEC corridor reshapes global trade alliances to challenge China’s BRI dominance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landscape of global trade is shifting dramatically, influenced by strategic alliances, evolving trade routes, and technological innovations. Rajen Bhatia, Managing Director of Tulsidas Khimji, notes that these developments foster enhanced connectivity and efficiency across supply chains, which are increasingly more complex and interdependent. As India integrates itself into this global framework, the significance of forming alliances with other nations intensifies, particularly against the backdrop of ongoing geopolitical and geoeconomic changes.</w:t>
      </w:r>
      <w:r/>
    </w:p>
    <w:p>
      <w:r/>
      <w:r>
        <w:t>Central to these efforts is the newly launched India–Middle East–Europe Economic Corridor (IMEC), designed to bolster economic ties and enhance trade connectivity across key regions. This corridor represents a strategic countermeasure to China's ambitious Belt and Road Initiative (BRI), which has been a pivotal player in global infrastructure development since its introduction in 2013. Both initiatives aim to create more resilient supply chains by improving logistics and reducing dependency on singular routes or countries. While the BRI connects over 60 nations through a blend of land and maritime routes, IMEC focuses on establishing a robust and cooperative framework for India, the Middle East, and Europe, specifically through pivotal nations like the UAE, Saudi Arabia, Israel, and parts of Europe.</w:t>
      </w:r>
      <w:r/>
    </w:p>
    <w:p>
      <w:r/>
      <w:r>
        <w:t>As nations reassess their dependencies amidst rising global uncertainties, India's position as a strategic partner appears increasingly vital. The IMEC plans to leverage investments in infrastructure, aiming to promote not just economic growth but also regional cooperation among countries that have historically faced trade barriers. This new focus on collaboration amidst cardinal shifts in the global trade landscape is reflective of a broader trend that sees trade alliances evolving under different geopolitical umbrellas, fostering greater interconnectivity.</w:t>
      </w:r>
      <w:r/>
    </w:p>
    <w:p>
      <w:r/>
      <w:r>
        <w:t>Technological advancements play an indispensable role in enhancing these supply chains. The implementation of the World Trade Organization's Trade Facilitation Agreement, which endeavours to streamline customs procedures, is one such example. This agreement is poised to reduce trade costs significantly, potentially bolstering global trade by as much as $1 trillion annually. Alongside this, the adoption of digital technologies — such as blockchain, artificial intelligence, and the Internet of Things — are revolutionising logistics, enabling real-time tracking and facilitating smoother cross-border transactions. As these technologies are integrated, the resilience and efficiency of trade networks are expected to see remarkable improvements.</w:t>
      </w:r>
      <w:r/>
    </w:p>
    <w:p>
      <w:r/>
      <w:r>
        <w:t>In light of these developments, various shipping alliances, including the Ocean Alliance comprising CMA CGM, Evergreen, Cosco, and OOCL, have emerged to bolster industry stability. By sharing resources and coordinating services, these alliances allow carriers to optimise their operations and reduce costs through increased efficiencies. Additionally, the phenomenon of increased sailing frequencies presents a tangible benefit for businesses reliant on just-in-time supply chains, where reliability is paramount.</w:t>
      </w:r>
      <w:r/>
    </w:p>
    <w:p>
      <w:r/>
      <w:r>
        <w:t>Despite these advancements, challenges remain. The dynamics of global trade are no longer solely driven by market forces; geopolitics are increasingly at play. As highlighted by recent analyses of global trade patterns, the complexities of trade alliances are transforming, leading to a scenario where countries are aligning themselves along various geopolitical lines. In particular, the decline of non-aligned country trade poses significant implications for emerging economies, which must navigate these evolving landscapes prudently.</w:t>
      </w:r>
      <w:r/>
    </w:p>
    <w:p>
      <w:r/>
      <w:r>
        <w:t>In conclusion, the convergence of strategic alliances, pioneering infrastructure projects like the IMEC, and the integration of cutting-edge technology are together reshaping the contours of global trade. As India positions itself within this interconnected web of commerce, these developments present opportunities for enhanced economic cooperation and a larger role in defining the future of global trade dynamics. Continuous adaptation to these emerging realities will be crucial as stakeholders strive for resilient supply chains in an increasingly complex global environment.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https://www.cargobreakingnews.com/alliances-with-other-countries-are-crucial-to-boost-supply-chain-resilience-and-efficiency/</w:t>
        </w:r>
      </w:hyperlink>
      <w:r>
        <w:t xml:space="preserve"> - Please view link - unable to able to access data</w:t>
      </w:r>
      <w:r/>
    </w:p>
    <w:p>
      <w:pPr>
        <w:pStyle w:val="ListNumber"/>
        <w:spacing w:line="240" w:lineRule="auto"/>
        <w:ind w:left="720"/>
      </w:pPr>
      <w:r/>
      <w:hyperlink r:id="rId11">
        <w:r>
          <w:rPr>
            <w:color w:val="0000EE"/>
            <w:u w:val="single"/>
          </w:rPr>
          <w:t>https://www.cnbc.com/2023/09/15/india-middle-east-europe-economic-corridor-aims-to-counter-chinas-belt-and-road-initiative.html</w:t>
        </w:r>
      </w:hyperlink>
      <w:r>
        <w:t xml:space="preserve"> - This article discusses the India–Middle East–Europe Economic Corridor (IMEC), launched in 2023, aiming to enhance trade connectivity between India, the Middle East, and Europe. The corridor is seen as a strategic response to China's Belt and Road Initiative (BRI), focusing on infrastructure development to boost economic growth and regional cooperation.</w:t>
      </w:r>
      <w:r/>
    </w:p>
    <w:p>
      <w:pPr>
        <w:pStyle w:val="ListNumber"/>
        <w:spacing w:line="240" w:lineRule="auto"/>
        <w:ind w:left="720"/>
      </w:pPr>
      <w:r/>
      <w:hyperlink r:id="rId12">
        <w:r>
          <w:rPr>
            <w:color w:val="0000EE"/>
            <w:u w:val="single"/>
          </w:rPr>
          <w:t>https://www.reuters.com/article/us-china-economy-idUSKBN2A10Z9</w:t>
        </w:r>
      </w:hyperlink>
      <w:r>
        <w:t xml:space="preserve"> - Reuters reports on China's Belt and Road Initiative (BRI), a global infrastructure development strategy launched in 2013. The BRI aims to invest in over 150 countries, comprising six urban development land corridors and the Maritime Silk Road, enhancing connectivity through road, rail, energy, and digital infrastructure.</w:t>
      </w:r>
      <w:r/>
    </w:p>
    <w:p>
      <w:pPr>
        <w:pStyle w:val="ListNumber"/>
        <w:spacing w:line="240" w:lineRule="auto"/>
        <w:ind w:left="720"/>
      </w:pPr>
      <w:r/>
      <w:hyperlink r:id="rId13">
        <w:r>
          <w:rPr>
            <w:color w:val="0000EE"/>
            <w:u w:val="single"/>
          </w:rPr>
          <w:t>https://www.ft.com/content/5b50af30-ff54-47bf-a2f9-c8f118361fcd</w:t>
        </w:r>
      </w:hyperlink>
      <w:r>
        <w:t xml:space="preserve"> - The Financial Times article emphasizes that while President Donald Trump's trade policies and tariff threats are causing significant upheaval in US markets and global relations, many of the changes in global trade and supply chains predate his administration. Nearshoring is on the rise within North America, bolstering trade between the US, Mexico, and Canada, yet global trade distances have increased, averaging about 5,200km. Trade alliances are also evolving geopolitically, with three major blocs emerging: a US-leaning group, a China-leaning group, and a neutral global south group. Key changes include the reduction in non-aligned country trade and the increase in integration within these blocs. Despite reduced trade between non-aligned nations and the impact of Russia's 2022 invasion of Ukraine, the shift is less pronounced than during the Cold War but economically more significant. Companies are adopting strategies to navigate this changing landscape, including building resilient supply chains and leveraging AI. The ongoing trends suggest that the global trade paradigm is adapting independently of Trump's influence.</w:t>
      </w:r>
      <w:r/>
    </w:p>
    <w:p>
      <w:pPr>
        <w:pStyle w:val="ListNumber"/>
        <w:spacing w:line="240" w:lineRule="auto"/>
        <w:ind w:left="720"/>
      </w:pPr>
      <w:r/>
      <w:hyperlink r:id="rId10">
        <w:r>
          <w:rPr>
            <w:color w:val="0000EE"/>
            <w:u w:val="single"/>
          </w:rPr>
          <w:t>https://www.orfonline.org/research/india-charts-its-imec-path-to-global-trade-influence</w:t>
        </w:r>
      </w:hyperlink>
      <w:r>
        <w:t xml:space="preserve"> - This research paper discusses India's strategic move to establish the India–Middle East–Europe Economic Corridor (IMEC) in 2023. The IMEC aims to enhance global trade connectivity and counter China's Belt and Road Initiative (BRI). The initiative focuses on infrastructure development to boost economic growth and regional cooperation.</w:t>
      </w:r>
      <w:r/>
    </w:p>
    <w:p>
      <w:pPr>
        <w:pStyle w:val="ListNumber"/>
        <w:spacing w:line="240" w:lineRule="auto"/>
        <w:ind w:left="720"/>
      </w:pPr>
      <w:r/>
      <w:hyperlink r:id="rId14">
        <w:r>
          <w:rPr>
            <w:color w:val="0000EE"/>
            <w:u w:val="single"/>
          </w:rPr>
          <w:t>https://www.csmonitor.com/World/Asia-South-Central/2023/0915/Can-India-s-Eurasian-trade-corridor-give-China-a-run-for-its-money</w:t>
        </w:r>
      </w:hyperlink>
      <w:r>
        <w:t xml:space="preserve"> - The article explores the potential of the India–Middle East–Europe Economic Corridor (IMEC) to reshape trade dynamics between India and Europe. Launched in 2023, the IMEC aims to enhance trade connectivity and counter China's Belt and Road Initiative (BRI), focusing on infrastructure development to boost economic growth and regional cooperation.</w:t>
      </w:r>
      <w:r/>
    </w:p>
    <w:p>
      <w:pPr>
        <w:pStyle w:val="ListNumber"/>
        <w:spacing w:line="240" w:lineRule="auto"/>
        <w:ind w:left="720"/>
      </w:pPr>
      <w:r/>
      <w:hyperlink r:id="rId15">
        <w:r>
          <w:rPr>
            <w:color w:val="0000EE"/>
            <w:u w:val="single"/>
          </w:rPr>
          <w:t>https://www.wgi.world/indias-economic-and-strategic-rise-imec-vs-bri/</w:t>
        </w:r>
      </w:hyperlink>
      <w:r>
        <w:t xml:space="preserve"> - This article compares India's India–Middle East–Europe Economic Corridor (IMEC) with China's Belt and Road Initiative (BRI). It highlights how IMEC, launched in 2023, aims to enhance trade connectivity and counter BRI by focusing on infrastructure development to boost economic growth and regional cooperation.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rgobreakingnews.com/alliances-with-other-countries-are-crucial-to-boost-supply-chain-resilience-and-efficiency/" TargetMode="External"/><Relationship Id="rId10" Type="http://schemas.openxmlformats.org/officeDocument/2006/relationships/hyperlink" Target="https://www.orfonline.org/research/india-charts-its-imec-path-to-global-trade-influence" TargetMode="External"/><Relationship Id="rId11" Type="http://schemas.openxmlformats.org/officeDocument/2006/relationships/hyperlink" Target="https://www.cnbc.com/2023/09/15/india-middle-east-europe-economic-corridor-aims-to-counter-chinas-belt-and-road-initiative.html" TargetMode="External"/><Relationship Id="rId12" Type="http://schemas.openxmlformats.org/officeDocument/2006/relationships/hyperlink" Target="https://www.reuters.com/article/us-china-economy-idUSKBN2A10Z9" TargetMode="External"/><Relationship Id="rId13" Type="http://schemas.openxmlformats.org/officeDocument/2006/relationships/hyperlink" Target="https://www.ft.com/content/5b50af30-ff54-47bf-a2f9-c8f118361fcd" TargetMode="External"/><Relationship Id="rId14" Type="http://schemas.openxmlformats.org/officeDocument/2006/relationships/hyperlink" Target="https://www.csmonitor.com/World/Asia-South-Central/2023/0915/Can-India-s-Eurasian-trade-corridor-give-China-a-run-for-its-money" TargetMode="External"/><Relationship Id="rId15" Type="http://schemas.openxmlformats.org/officeDocument/2006/relationships/hyperlink" Target="https://www.wgi.world/indias-economic-and-strategic-rise-imec-vs-br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