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Marks &amp; Spencer ransomware attack exposes fragile retail supply chains and risks £300 million losses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ransomware attack has laid bare the vulnerabilities within modern retail supply chains, with Marks &amp; Spencer (M&amp;S) serving as a stark case study of the operational fragility that can ensue from such breaches. Following an incident in late April, the retailer's digital infrastructure was severely disrupted, leading to the suspension of online sales and forcing operational teams into a reliance on manual processes to manage inventory and fulfilment.</w:t>
      </w:r>
      <w:r/>
    </w:p>
    <w:p>
      <w:r/>
      <w:r>
        <w:t>M&amp;S's e-commerce platform, which typically generates approximately £3.8 million in daily sales, remains offline. Consequently, physical stores have faced sporadic food shortages as logistics efforts have been hampered. Suppliers have reverted to archaic pen-and-paper ordering systems, while distribution schedules have been strained in a bid to maintain availability. In a further blow to customer service, M&amp;S has paused its click-and-collect services and taken job listings offline. Although the company asserts that sensitive payment and password information remained secure, it has acknowledged the compromise of customer data, including names and order histories. This incident not only highlights the immediate impact of the breach but also signals potential long-term reputational damage.</w:t>
      </w:r>
      <w:r/>
    </w:p>
    <w:p>
      <w:r/>
      <w:r>
        <w:t>The cyberattack, attributed to the group Scattered Spider, employed a ransomware-as-a-service platform called DragonForce. This group has been linked to other attacks on notable retail names such as Harrods and the Co-op, suggesting a troubling trend of targeted infiltrations within the sector. CEO Stuart Machin explained that the breach was facilitated through social engineering tactics directed at a third-party contractor, which allowed the attackers to gain pivotal credentials while impersonating trusted personnel. Although M&amp;S has not disclosed the identity of the contractor involved, Tata Consultancy Services, its long-time IT partner, is currently undertaking an internal investigation to determine whether their systems were exploited as an entry point.</w:t>
      </w:r>
      <w:r/>
    </w:p>
    <w:p>
      <w:r/>
      <w:r>
        <w:t>While M&amp;S had enjoyed a successful financial year, reporting its best adjusted pretax profits in over 15 years—£876 million, a rise of over 22% from the previous year—the ransomware attack is poised to inflict significant financial strain, with losses potentially reaching £300 million for the fiscal year ending March 2026. The impending financial impacts are compounded by a £249 million non-cash impairment charge connected to M&amp;S's investment in Ocado Retail. This dual disruption raises concerns regarding forward planning and procurement cycles, especially in areas that rely on just-in-time inventory and synchronous supplier inputs.</w:t>
      </w:r>
      <w:r/>
    </w:p>
    <w:p>
      <w:r/>
      <w:r>
        <w:t>Despite these setbacks, investor confidence appears resilient. On the day of the earnings report, M&amp;S shares rebounded by 2.6%, which analysts at Deutsche Bank interpreted as a sign of management’s assurance in addressing the situation. Such optimism may hinge on the company’s dual strategy to mitigate losses through insurance claims and tighter cost controls. However, the incident underscores a critical lesson for supply chain leaders across the industry: the necessity of treating digital platforms managed by third parties as integral to operations, deserving the same level of scrutiny and risk management as any strategic supplier.</w:t>
      </w:r>
      <w:r/>
    </w:p>
    <w:p>
      <w:r/>
      <w:r>
        <w:t>As the repercussions of this attack unfold, it is evident that the stakes for cybersecurity have escalated, highlighting the interconnectedness of digital infrastructures and physical operations. The evolving landscape necessitates a reframing of cyber risk as a fundamental component of operational risk, demanding comprehensive resilience planning and recovery protocols to safeguard against future threats.</w:t>
      </w:r>
      <w:r/>
    </w:p>
    <w:p>
      <w:pPr>
        <w:pBdr>
          <w:bottom w:val="single" w:sz="6" w:space="1" w:color="auto"/>
        </w:pBdr>
      </w:pPr>
      <w:r/>
    </w:p>
    <w:p>
      <w:pPr>
        <w:pStyle w:val="Heading3"/>
      </w:pPr>
      <w:r>
        <w:t>Reference Map</w:t>
      </w:r>
      <w:r/>
    </w:p>
    <w:p>
      <w:r/>
      <w:r>
        <w:t xml:space="preserve">1. Paragraphs 1, 2, 3, 4, 5, 6 </w:t>
      </w:r>
      <w:r/>
    </w:p>
    <w:p>
      <w:r/>
      <w:r>
        <w:t xml:space="preserve">Source: </w:t>
      </w:r>
      <w:hyperlink r:id="rId9">
        <w:r>
          <w:rPr>
            <w:color w:val="0000EE"/>
            <w:u w:val="single"/>
          </w:rPr>
          <w:t>Noah Wire Services</w:t>
        </w:r>
      </w:hyperlink>
      <w:r/>
    </w:p>
    <w:p>
      <w:pPr>
        <w:pStyle w:val="Heading2"/>
      </w:pPr>
      <w:r>
        <w:t>Bibliography</w:t>
      </w:r>
      <w:r/>
    </w:p>
    <w:p>
      <w:r/>
      <w:r>
        <w:t xml:space="preserve">1. </w:t>
      </w:r>
      <w:hyperlink r:id="rId10">
        <w:r>
          <w:rPr>
            <w:color w:val="0000EE"/>
            <w:u w:val="single"/>
          </w:rPr>
          <w:t>https://supplychain360.io/ms-cyberattack-exposes-supply-chain-fragility/?utm_source=rss&amp;utm_medium=rss&amp;utm_campaign=ms-cyberattack-exposes-supply-chain-fragility</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ms-cyberattack-exposes-supply-chain-fragility/?utm_source=rss&amp;utm_medium=rss&amp;utm_campaign=ms-cyberattack-exposes-supply-chain-frag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