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NCC 2022 and digital tools force Australia’s construction sector to overhaul procurement and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recent industry blog, the forces reshaping Australia’s built environment can be grouped into three interlocking drivers: regulation, digitisation and decarbonisation. Together they are pushing suppliers, contractors, owners and regulators to lift performance, rethink delivery models and adopt technologies associated with the fourth industrial revolution. That analysis is sound — but it understates how rapidly those pressures are forcing structural change and how dependent success will be on standards, procurement reform and cross‑sector co‑operation.</w:t>
      </w:r>
      <w:r/>
    </w:p>
    <w:p>
      <w:r/>
      <w:r>
        <w:t>Regulation: higher bars, wider reach Regulation is no longer a narrow compliance exercise. National reforms such as the National Construction Code 2022, finalised in 2022 by the Australian Building Codes Board, raise minimum energy‑efficiency standards for new residential and commercial buildings — introducing seven‑star NatHERS equivalents for houses, appliance energy‑use budgets and provisions intended to ease electrification, on‑site photovoltaics and EV infrastructure. According to government materials, these measures are designed to cut operating costs and greenhouse‑gas output and to align the building sector with Australia’s net‑zero commitments.</w:t>
      </w:r>
      <w:r/>
    </w:p>
    <w:p>
      <w:r/>
      <w:r>
        <w:t>For industry this means earlier and deeper integration of design, energy modeling and lifecycle costing. Clients will increasingly treat compliance as a design constraint and a source of value; regulators will demand verifiable documentation; and suppliers will need to show not just component performance but whole‑of‑life outcomes.</w:t>
      </w:r>
      <w:r/>
    </w:p>
    <w:p>
      <w:r/>
      <w:r>
        <w:t>Digitisation: the data and standards imperative Digitisation sits at the heart of the transformation. International standards for information management — notably ISO 19650, as explained by BSI — set out how Building Information Modelling (BIM) should be used across an asset’s life to reduce errors, improve collaboration and make outcomes more predictable. The blog’s emphasis on improved documentation and common data environments echoes that guidance: without consistent information protocols, AI, digital twins, prefabrication coordination and automated manufacture cannot deliver promised gains.</w:t>
      </w:r>
      <w:r/>
    </w:p>
    <w:p>
      <w:r/>
      <w:r>
        <w:t>Global consultancies and multilateral organisations reach the same conclusion. McKinsey has surveyed AI use cases in construction and concluded the sector is under‑digitised but poised for AI adoption — from design optimisation and risk prediction to image recognition for safety and AI‑enabled supply‑chain coordination. McKinsey’s earlier analysis of the sector’s productivity gap quantified the prize: the construction industry could capture very large economic gains if it narrowed that gap, with factory‑style prefabrication and tighter manufacture–assembly linkages among the most potent levers.</w:t>
      </w:r>
      <w:r/>
    </w:p>
    <w:p>
      <w:r/>
      <w:r>
        <w:t>Decarbonisation: a lifecycle problem Decarbonisation reframes the brief from “build it on budget” to “deliver a low‑carbon asset over its whole life”. That shift puts a premium on design choices, material selection, energy systems and operational data. The World Economic Forum has urged industry leaders to combine mindset shifts with technical innovation — digital twins, circularity, modularisation and collaborative procurement — to achieve lower lifecycle costs and better environmental outcomes. WEF’s January 2025 analysis of modular construction also highlights that volumetric modular techniques can materially speed delivery (case studies suggest reductions in schedule of up to fifty per cent), reduce vehicle movements and lower emissions — but only if logistics, inspection regimes and regulation are modernised in tandem.</w:t>
      </w:r>
      <w:r/>
    </w:p>
    <w:p>
      <w:r/>
      <w:r>
        <w:t>Practical bottlenecks Despite the potential, three barriers recur across reports and practitioner accounts: data and standards, skills and organisational capability, and misaligned commercial models.</w:t>
      </w:r>
      <w:r/>
      <w:r/>
    </w:p>
    <w:p>
      <w:pPr>
        <w:pStyle w:val="ListBullet"/>
        <w:spacing w:line="240" w:lineRule="auto"/>
        <w:ind w:left="720"/>
      </w:pPr>
      <w:r/>
      <w:r>
        <w:t>Data and standards: Fragmented information flows and inconsistent BIM adoption make it difficult to apply AI or run reliable digital twins. Adopting ISO 19650‑aligned common data environments will not be painless, but it is a prerequisite for scaling factory‑style prefabrication and supply‑chain automation.</w:t>
      </w:r>
      <w:r/>
    </w:p>
    <w:p>
      <w:pPr>
        <w:pStyle w:val="ListBullet"/>
        <w:spacing w:line="240" w:lineRule="auto"/>
        <w:ind w:left="720"/>
      </w:pPr>
      <w:r/>
      <w:r>
        <w:t>Skills and culture: AI, robotics and off‑site manufacture demand new skills — not only technical specialists but digitally literate project managers and procurement teams. McKinsey and the WEF both stress reskilling and leadership buy‑in as essential.</w:t>
      </w:r>
      <w:r/>
    </w:p>
    <w:p>
      <w:pPr>
        <w:pStyle w:val="ListBullet"/>
        <w:spacing w:line="240" w:lineRule="auto"/>
        <w:ind w:left="720"/>
      </w:pPr>
      <w:r/>
      <w:r>
        <w:t>Contracts and procurement: Traditional procurement and risk allocation discourage innovation. McKinsey’s productivity agenda calls for rewiring contracts and procurement to reward whole‑life performance rather than lowest initial cost; the same point emerges from WEF case studies.</w:t>
      </w:r>
      <w:r/>
      <w:r/>
    </w:p>
    <w:p>
      <w:r/>
      <w:r>
        <w:t>What works: measures that scale benefits The evidence points to a combination of public policy, industry leadership and targeted investment.</w:t>
      </w:r>
      <w:r/>
      <w:r/>
    </w:p>
    <w:p>
      <w:pPr>
        <w:pStyle w:val="ListBullet"/>
        <w:spacing w:line="240" w:lineRule="auto"/>
        <w:ind w:left="720"/>
      </w:pPr>
      <w:r/>
      <w:r>
        <w:t>Standards and verification: Governments and industry bodies should accelerate adoption of ISO 19650‑style information management, and require verifiable, machine‑readable outputs for energy performance and carbon metrics. That will make compliance auditable and interoperable across supply chains.</w:t>
      </w:r>
      <w:r/>
    </w:p>
    <w:p>
      <w:pPr>
        <w:pStyle w:val="ListBullet"/>
        <w:spacing w:line="240" w:lineRule="auto"/>
        <w:ind w:left="720"/>
      </w:pPr>
      <w:r/>
      <w:r>
        <w:t>Strategic procurement: Owners — especially large public clients — can use procurement levers to create demand for modular, low‑carbon and digitised delivery. Long‑term contracts tied to operational performance will incentivise suppliers to innovate.</w:t>
      </w:r>
      <w:r/>
    </w:p>
    <w:p>
      <w:pPr>
        <w:pStyle w:val="ListBullet"/>
        <w:spacing w:line="240" w:lineRule="auto"/>
        <w:ind w:left="720"/>
      </w:pPr>
      <w:r/>
      <w:r>
        <w:t>Ecosystem partnerships: Successful deployments repeatedly rely on partnerships across software vendors, manufacturers, contractors and financiers. McKinsey highlights ecosystem approaches and lighthouse projects as the route to scalable impact.</w:t>
      </w:r>
      <w:r/>
    </w:p>
    <w:p>
      <w:pPr>
        <w:pStyle w:val="ListBullet"/>
        <w:spacing w:line="240" w:lineRule="auto"/>
        <w:ind w:left="720"/>
      </w:pPr>
      <w:r/>
      <w:r>
        <w:t>Reskilling and change management: Investment in training, apprenticeships and on‑the‑job learning must accompany technology deployment. Upskilling is not an optional add‑on but a material part of capturing productivity gains.</w:t>
      </w:r>
      <w:r/>
    </w:p>
    <w:p>
      <w:pPr>
        <w:pStyle w:val="ListBullet"/>
        <w:spacing w:line="240" w:lineRule="auto"/>
        <w:ind w:left="720"/>
      </w:pPr>
      <w:r/>
      <w:r>
        <w:t>Pilot and scale: Take a portfolio approach — pilot digital twins, prefabrication lines and AI scheduling on discrete projects, measure outcomes, then scale where clear KPIs are met.</w:t>
      </w:r>
      <w:r/>
      <w:r/>
    </w:p>
    <w:p>
      <w:r/>
      <w:r>
        <w:t>Editorial perspective The original blog is right to see digitisation and decarbonisation as existential pressures for construction firms. But turning potential into performance requires more than technology procurement: it needs standards, procurement reform, regulatory clarity and the deliberate building of industrial capacity. The policy changes embedded in NCC 2022 make higher performance non‑negotiable; the international evidence from McKinsey and the World Economic Forum shows that when standards, contracts and ecosystems align, the rewards in speed, quality and lifecycle cost are substantial.</w:t>
      </w:r>
      <w:r/>
    </w:p>
    <w:p>
      <w:r/>
      <w:r>
        <w:t>For Australian suppliers, contractors and clients the path forward is therefore pragmatic and systemic: adopt common information standards, redesign procurement to reward whole‑life outcomes, invest in prefabrication where logistics permit, and treat AI and automation as process‑change levers rather than bolt‑on tools. If those pieces fall into place, the sector stands to deliver markedly better buildings — and to do so with lower carbon footprints and lower total cost of ownership. The alternative is piecemeal adoption that leaves the performance gap and regulatory risk intact.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https://gerard-de-valence.blogspot.com/2025/08/digitisation-of-australian-industry-is.html</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https://www.mckinsey.com/capabilities/operations/our-insights/artificial-intelligence-construction-technologys-next-frontier</w:t>
        </w:r>
      </w:hyperlink>
      <w:r>
        <w:t xml:space="preserve"> - McKinsey’s article surveys artificial intelligence applications across the engineering and construction sector, arguing the industry is under‑digitised but poised for AI adoption. It outlines use cases from design optimisation, schedule and risk prediction, image recognition for safety, to AI-enhanced supply‑chain and prefabrication coordination. The paper highlights barriers including limited data, organisational capability and talent, and recommends investing in digitisation, identifying high‑impact use cases, reskilling staff and embedding AI in leadership agendas. It predicts growing AI significance for owners, contractors and operators, and stresses that successful deployment depends on ecosystem partnerships, sustained investment and adapting processes to capture measurable performance improvements.</w:t>
      </w:r>
      <w:r/>
    </w:p>
    <w:p>
      <w:pPr>
        <w:pStyle w:val="ListNumber"/>
        <w:spacing w:line="240" w:lineRule="auto"/>
        <w:ind w:left="720"/>
      </w:pPr>
      <w:r/>
      <w:hyperlink r:id="rId12">
        <w:r>
          <w:rPr>
            <w:color w:val="0000EE"/>
            <w:u w:val="single"/>
          </w:rPr>
          <w:t>https://www.mckinsey.com/capabilities/operations/our-insights/reinventing-construction-through-a-productivity-revolution</w:t>
        </w:r>
      </w:hyperlink>
      <w:r>
        <w:t xml:space="preserve"> - McKinsey’s 2017 Global Institute report analyses construction’s persistent low productivity and prescribes a productivity revolution. It quantifies a potential US$1.6 trillion boost if the sector narrows its productivity gap and identifies seven levers: reshaping regulation, re‑wiring contracts, rethinking design, improving procurement and supply chains, enhancing on‑site execution, infusing digital technology and automation, and reskilling the workforce. The report promotes factory‑style prefabrication and modularisation to link manufacture and assembly, arguing this can dramatically shorten schedules, reduce costs and improve quality. It stresses coordinated action by owners, contractors and policy‑makers to unlock systemic gains and scale proven innovations across national borders globally.</w:t>
      </w:r>
      <w:r/>
    </w:p>
    <w:p>
      <w:pPr>
        <w:pStyle w:val="ListNumber"/>
        <w:spacing w:line="240" w:lineRule="auto"/>
        <w:ind w:left="720"/>
      </w:pPr>
      <w:r/>
      <w:hyperlink r:id="rId13">
        <w:r>
          <w:rPr>
            <w:color w:val="0000EE"/>
            <w:u w:val="single"/>
          </w:rPr>
          <w:t>https://www.bsigroup.com/en-US/capabilities/buildings-and-construction/iso-19650-building-information-modelling-bim/</w:t>
        </w:r>
      </w:hyperlink>
      <w:r>
        <w:t xml:space="preserve"> - BSI’s ISO 19650 page explains the international standard for managing information using Building Information Modelling across the asset life cycle. It emphasises consistent information management to reduce errors, improve collaboration and decision‑making, and enhance cost, value and carbon performance. The page outlines the ISO 19650 parts covering concepts, delivery, operation, information exchange and security, and links the standard to the UK BIM Framework. BSI positions ISO 19650 as enabling better quality design documentation, clearer roles, common data environments and predictable outcomes, and promotes training and certification to help suppliers, contractors and owners implement digitisation and improve long‑term asset management practices.</w:t>
      </w:r>
      <w:r/>
    </w:p>
    <w:p>
      <w:pPr>
        <w:pStyle w:val="ListNumber"/>
        <w:spacing w:line="240" w:lineRule="auto"/>
        <w:ind w:left="720"/>
      </w:pPr>
      <w:r/>
      <w:hyperlink r:id="rId14">
        <w:r>
          <w:rPr>
            <w:color w:val="0000EE"/>
            <w:u w:val="single"/>
          </w:rPr>
          <w:t>https://ncc.abcb.gov.au/news/2022/building-ministers-finalise-ncc-2022</w:t>
        </w:r>
      </w:hyperlink>
      <w:r>
        <w:t xml:space="preserve"> - The Australian Building Codes Board’s NCC 2022 announcement details strengthened energy efficiency requirements for new residential and commercial buildings. It introduces seven‑star NatHERS equivalents for new homes and an annual energy‑use budget for major appliances, plus commercial proposals to reduce emissions, enable electrification and support on‑site photovoltaics and EV infrastructure. The reforms reflect national commitments to emissions reduction and net‑zero by 2050, and are designed to lower operating costs, improve occupant comfort and reduce greenhouse gas output. The page explains the rationale, implementation timetable and links to technical guidance, signalling regulatory pressure on industry performance and delivery standards and compliance.</w:t>
      </w:r>
      <w:r/>
    </w:p>
    <w:p>
      <w:pPr>
        <w:pStyle w:val="ListNumber"/>
        <w:spacing w:line="240" w:lineRule="auto"/>
        <w:ind w:left="720"/>
      </w:pPr>
      <w:r/>
      <w:hyperlink r:id="rId15">
        <w:r>
          <w:rPr>
            <w:color w:val="0000EE"/>
            <w:u w:val="single"/>
          </w:rPr>
          <w:t>https://www.weforum.org/publications/shaping-the-future-of-construction-a-breakthrough-in-mindset-and-technology/</w:t>
        </w:r>
      </w:hyperlink>
      <w:r>
        <w:t xml:space="preserve"> - The World Economic Forum’s 'Shaping the Future of Construction' publication examines how mindset shifts and technology can transform construction. It presents case studies and thirty measures across project delivery, lifecycle performance and industry governance, emphasising digitisation, modularisation, circularity and collaborative procurement. The report showcases lighthouse projects using 3D printing, automated design, prefabrication and digital twins to improve quality and reduce lifecycle costs. It argues for cross‑sector ecosystems, public‑private co‑operation and regulatory reform to scale innovation. The paper positions fourth industrial revolution technologies as central to solving productivity, safety and sustainability challenges confronting suppliers, contractors, clients and regulators in the sector.</w:t>
      </w:r>
      <w:r/>
    </w:p>
    <w:p>
      <w:pPr>
        <w:pStyle w:val="ListNumber"/>
        <w:spacing w:line="240" w:lineRule="auto"/>
        <w:ind w:left="720"/>
      </w:pPr>
      <w:r/>
      <w:hyperlink r:id="rId16">
        <w:r>
          <w:rPr>
            <w:color w:val="0000EE"/>
            <w:u w:val="single"/>
          </w:rPr>
          <w:t>https://www.weforum.org/stories/2025/01/modular-construction-productivity-circularity/</w:t>
        </w:r>
      </w:hyperlink>
      <w:r>
        <w:t xml:space="preserve"> - This World Economic Forum article analyses modular construction’s benefits for productivity and circularity, arguing assembly‑line methods can accelerate delivery while reducing waste and disruption. It summarises evidence that volumetric modular techniques can shorten timelines by up to fifty per cent and cut costs through factory control and reduced on‑site labour. The piece highlights reduced vehicle movements, lower emissions and improved predictability, citing McKinsey and industry case studies. It notes regulatory, logistics and inspection hurdles but recommends supportive policy, standardisation and investment to scale modular solutions. The article frames modularisation as a key route to higher quality and lower whole‑life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erard-de-valence.blogspot.com/2025/08/digitisation-of-australian-industry-is.html" TargetMode="External"/><Relationship Id="rId11" Type="http://schemas.openxmlformats.org/officeDocument/2006/relationships/hyperlink" Target="https://www.mckinsey.com/capabilities/operations/our-insights/artificial-intelligence-construction-technologys-next-frontier" TargetMode="External"/><Relationship Id="rId12" Type="http://schemas.openxmlformats.org/officeDocument/2006/relationships/hyperlink" Target="https://www.mckinsey.com/capabilities/operations/our-insights/reinventing-construction-through-a-productivity-revolution" TargetMode="External"/><Relationship Id="rId13" Type="http://schemas.openxmlformats.org/officeDocument/2006/relationships/hyperlink" Target="https://www.bsigroup.com/en-US/capabilities/buildings-and-construction/iso-19650-building-information-modelling-bim/" TargetMode="External"/><Relationship Id="rId14" Type="http://schemas.openxmlformats.org/officeDocument/2006/relationships/hyperlink" Target="https://ncc.abcb.gov.au/news/2022/building-ministers-finalise-ncc-2022" TargetMode="External"/><Relationship Id="rId15" Type="http://schemas.openxmlformats.org/officeDocument/2006/relationships/hyperlink" Target="https://www.weforum.org/publications/shaping-the-future-of-construction-a-breakthrough-in-mindset-and-technology/" TargetMode="External"/><Relationship Id="rId16" Type="http://schemas.openxmlformats.org/officeDocument/2006/relationships/hyperlink" Target="https://www.weforum.org/stories/2025/01/modular-construction-productivity-circula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