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Supply‑chain cyber risk demands continuous, evidence‑led oversight — not annual paperwork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can no longer treat third‑party cyber risk as an administrative afterthought. Attackers increasingly target suppliers, managed service providers and software vendors as a way of reaching many victims at once, and regulators are now explicit that oversight of those relationships is a legal as well as a security obligation. According to an analysis by the EU Agency for Cybersecurity, supply‑chain compromises rose sharply in recent years and frequently exploit hidden fourth‑ and fifth‑party dependencies. That makes a practical, evidence‑based programme for third‑party risk management essential—not optional.</w:t>
      </w:r>
      <w:r/>
    </w:p>
    <w:p>
      <w:r/>
      <w:r>
        <w:t>Start with a true map, not a guess Before tightening controls you must know exactly who and what sits in your digital supply chain. This means an authoritative inventory that records not just the vendors you contract with but the services they deliver, the data they handle, how they connect to your environment (APIs, VPNs, admin consoles), their geographical and legal jurisdictions, and the downstream suppliers they rely on. NIST’s supply‑chain guidance recommends integrating these inventories into procurement and acquisition processes so supplier assurance becomes part of the lifecycle—not an ad‑hoc checkbox.</w:t>
      </w:r>
      <w:r/>
    </w:p>
    <w:p>
      <w:r/>
      <w:r>
        <w:t>Don’t treat all suppliers the same Risk is not evenly distributed. Tier suppliers by data sensitivity, access level and business criticality, and set minimum baselines for each tier. Practical examples include mandatory multi‑factor authentication and privileged access controls for critical providers, encryption and secure patching for high‑risk vendors, and routine questionnaires for lower tiers. NIST’s guidance provides a multilevel approach tying policy, acquisition and technical controls together; regulators such as NIS2 and DORA now require comparable measures for organisations in scope.</w:t>
      </w:r>
      <w:r/>
    </w:p>
    <w:p>
      <w:r/>
      <w:r>
        <w:t>Validate controls with evidence, not paperwork Annual self‑assessments are a useful start but inadequate on their own. Strengthen due diligence by asking for demonstrable evidence: ISO 27001 or SOC 2 reports, penetration‑test results and remediation plans, secure software‑development documentation and signed build artefacts. For software suppliers, demand a Software Bill of Materials (SBOM) so you can see component provenance and react quickly to library‑level vulnerabilities. CISA’s SBOM guidance points to practical formats (for example SPDX and CycloneDX) and to the use of VEX advisories to speed prioritisation during incidents.</w:t>
      </w:r>
      <w:r/>
    </w:p>
    <w:p>
      <w:r/>
      <w:r>
        <w:t>Write contracts that shift risk and enable oversight Contracts must be cyber‑aware: define precise breach notification timeframes, include audit and on‑site inspection rights, require disclosure and approval for sub‑processors, mandate minimum technical controls and set secure exit conditions for data return or destruction. NIST recommends embedding supplier assurance and contract clauses into acquisition practices; DORA, which came into application for the EU financial sector on 17 January 2025, codifies many of these expectations and introduces oversight for critical ICT providers. NIS2 similarly tightens procurement and supplier oversight obligations across essential and important sectors.</w:t>
      </w:r>
      <w:r/>
    </w:p>
    <w:p>
      <w:r/>
      <w:r>
        <w:t>Move from point checks to continuous monitoring Supplier risk is dynamic. Continuous, automated monitoring reduces the window of exposure—scan for newly exposed assets, leaked credentials, certificate expiries and public vulnerability disclosures; track suppliers’ patching cadence and their reliance on single‑point infrastructure such as a single data centre or hyper‑scaler. Where possible, integrate external threat telemetry with contractual KPIs and escalation paths so a supplier‑side signal triggers an immediate internal review.</w:t>
      </w:r>
      <w:r/>
    </w:p>
    <w:p>
      <w:r/>
      <w:r>
        <w:t>Apply Zero Trust to third‑party access Zero Trust is particularly valuable for vendor relationships: assume no identity or device is inherently trustworthy. NIST’s Zero Trust Architecture stresses continuous verification, least privilege, micro‑segmentation and device posture checks. Practically that means just‑in‑time, time‑boxed access with per‑session approvals, strict privilege separation for vendor accounts and network segmentation that limits lateral movement if a supplier credential is compromised.</w:t>
      </w:r>
      <w:r/>
    </w:p>
    <w:p>
      <w:r/>
      <w:r>
        <w:t>Harden the software supply chain Software components and build processes are a frequent route for mass compromise. Require signed and verifiable releases, insist on SBOMs for transparency, and mandate timely patching of third‑party libraries. Use automated dependency‑scanning tools to identify vulnerable components and incorporate SBOM consumption into procurement, incident response and continuous monitoring workflows, as recommended by national guidance.</w:t>
      </w:r>
      <w:r/>
    </w:p>
    <w:p>
      <w:r/>
      <w:r>
        <w:t>Prepare for the inevitable: rehearse the response Even mature programmes will face supplier incidents. Have a rehearsed 72‑hour playbook: revoke or rotate compromised credentials, isolate affected integrations, preserve forensic evidence, notify regulators within the contractual and legal timeframes, and coordinate public and customer communications. Conduct cross‑organisational tabletop exercises with key vendors to test real‑time coordination and documentation flows.</w:t>
      </w:r>
      <w:r/>
    </w:p>
    <w:p>
      <w:r/>
      <w:r>
        <w:t>Mind the hidden links and concentration risks ENISA’s research and NIST’s supply‑chain guidance both warn of hidden upstream dependencies: a trusted vendor’s supplier may introduce software or infrastructure risk you cannot see unless you require disclosure. Equally important is concentration risk—over‑reliance on a single cloud provider or critical ICT supplier can amplify outages. Regulators now expect organisations to identify and mitigate these concentration and cascade risks.</w:t>
      </w:r>
      <w:r/>
    </w:p>
    <w:p>
      <w:r/>
      <w:r>
        <w:t>Where specialist help speeds progress Implementing a robust, continuous third‑party risk programme demands technical skills, procurement alignment and regulatory know‑how. Independent cybersecurity consultancies can help design supplier risk frameworks, validate technical controls, stand up continuous monitoring and prepare the documentation organisations need to demonstrate compliance with NIS2, DORA and recognised standards.</w:t>
      </w:r>
      <w:r/>
    </w:p>
    <w:p>
      <w:r/>
      <w:r>
        <w:t>What to prioritise this quarter - Establish or refresh your supplier inventory and surface fourth‑ and fifth‑party links.</w:t>
        <w:br/>
      </w:r>
      <w:r>
        <w:t>- Classify vendors by risk and apply tiered baselines tied to contract clauses.</w:t>
        <w:br/>
      </w:r>
      <w:r>
        <w:t>- Require SBOMs and signed builds from software suppliers and onboard automated dependency scanning.</w:t>
        <w:br/>
      </w:r>
      <w:r>
        <w:t>- Implement continuous monitoring for exposed assets, leaked credentials and patch lag.</w:t>
        <w:br/>
      </w:r>
      <w:r>
        <w:t>- Apply Zero Trust principles to all third‑party access.</w:t>
        <w:br/>
      </w:r>
      <w:r>
        <w:t>- Rehearse an incident response playbook that includes vendor coordination and regulatory reporting.</w:t>
      </w:r>
      <w:r/>
    </w:p>
    <w:p>
      <w:r/>
      <w:r>
        <w:t>The technical, legal and reputational costs of supplier compromise are now clear; the policy and operational tools to reduce that risk are equally well established. By mapping dependencies, insisting on verifiable evidence, embedding contractual safeguards, and shifting to continuous verification and monitoring, organisations can convert their supply chain from a systemic blind spot into a measurable and managed risk domain. In an era when attackers prefer the side door, resilience is built by design and sustained through constant attention.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https://itsupplychain.com/how-to-protect-your-digital-supply-chain-from-third-party-breaches/</w:t>
        </w:r>
      </w:hyperlink>
      <w:r>
        <w:t xml:space="preserve"> - Please view link - unable to able to access data</w:t>
      </w:r>
      <w:r/>
    </w:p>
    <w:p>
      <w:pPr>
        <w:pStyle w:val="ListNumber"/>
        <w:spacing w:line="240" w:lineRule="auto"/>
        <w:ind w:left="720"/>
      </w:pPr>
      <w:r/>
      <w:hyperlink r:id="rId11">
        <w:r>
          <w:rPr>
            <w:color w:val="0000EE"/>
            <w:u w:val="single"/>
          </w:rPr>
          <w:t>https://www.nist.gov/publications/cybersecurity-supply-chain-risk-management-practices-systems-and-organizations</w:t>
        </w:r>
      </w:hyperlink>
      <w:r>
        <w:t xml:space="preserve"> - NIST Special Publication 800-161 (rev.1) provides comprehensive guidance on cybersecurity supply chain risk management for organisations. It explains processes for identifying, assessing and mitigating risks from products, services and suppliers across the technology life cycle. The guidance covers acquisition practices, supplier assurance, contract clauses, monitoring, incident response coordination and integration of supply chain risk into organisational governance. It highlights the need to understand upstream dependencies, require evidence of secure development practices, and adopt standards-based controls. NIST frames a multilevel approach including policy, planning and technical measures to reduce vulnerabilities introduced through third parties and to improve resilience and ensure accountability.</w:t>
      </w:r>
      <w:r/>
    </w:p>
    <w:p>
      <w:pPr>
        <w:pStyle w:val="ListNumber"/>
        <w:spacing w:line="240" w:lineRule="auto"/>
        <w:ind w:left="720"/>
      </w:pPr>
      <w:r/>
      <w:hyperlink r:id="rId12">
        <w:r>
          <w:rPr>
            <w:color w:val="0000EE"/>
            <w:u w:val="single"/>
          </w:rPr>
          <w:t>https://www.nist.gov/publications/zero-trust-architecture-0</w:t>
        </w:r>
      </w:hyperlink>
      <w:r>
        <w:t xml:space="preserve"> - NIST Special Publication 800-207 defines Zero Trust Architecture principles and deployment models to protect resources rather than relying on perimeter defences. It emphasises continuous verification, least privilege, and micro‑segmentation to limit lateral movement and reduce risk from compromised credentials or third‑party access. The document outlines logical components, access control workflows, identity and device posture considerations, and guidance for incremental implementation. NIST explains use cases where zero trust improves security for remote users, cloud services and vendor connections, and provides a high‑level roadmap for organisations to design, test and adopt zero trust strategies that minimise implicit trust and protect critical assets.</w:t>
      </w:r>
      <w:r/>
    </w:p>
    <w:p>
      <w:pPr>
        <w:pStyle w:val="ListNumber"/>
        <w:spacing w:line="240" w:lineRule="auto"/>
        <w:ind w:left="720"/>
      </w:pPr>
      <w:r/>
      <w:hyperlink r:id="rId13">
        <w:r>
          <w:rPr>
            <w:color w:val="0000EE"/>
            <w:u w:val="single"/>
          </w:rPr>
          <w:t>https://enisappd.enisa.europa.eu/publications/threat-landscape-for-supply-chain-attacks</w:t>
        </w:r>
      </w:hyperlink>
      <w:r>
        <w:t xml:space="preserve"> - ENISA’s Threat Landscape for Supply Chain Attacks (July 2021) analyses incidents from January 2020 to July 2021 and documents a sharp rise in supply chain compromises. The report notes attackers increasingly target suppliers to reach many victims, often through tampered code or compromised components, and attributes a large share to advanced persistent threat actors. ENISA highlights hidden fourth‑ and fifth‑party dependencies, inconsistent reporting by suppliers, and the substantial impact on data confidentiality and service continuity. The publication urges coordinated mitigation including supplier vetting, monitoring of dependencies, secure development practices and improved incident disclosure across the supply chain ecosystem and regulatory cooperation.</w:t>
      </w:r>
      <w:r/>
    </w:p>
    <w:p>
      <w:pPr>
        <w:pStyle w:val="ListNumber"/>
        <w:spacing w:line="240" w:lineRule="auto"/>
        <w:ind w:left="720"/>
      </w:pPr>
      <w:r/>
      <w:hyperlink r:id="rId14">
        <w:r>
          <w:rPr>
            <w:color w:val="0000EE"/>
            <w:u w:val="single"/>
          </w:rPr>
          <w:t>https://www.cisa.gov/sbom</w:t>
        </w:r>
      </w:hyperlink>
      <w:r>
        <w:t xml:space="preserve"> - CISA’s Software Bill of Materials (SBOM) resources explain SBOMs as nested inventories listing software components and their relationships, intended to increase transparency in the software supply chain. The site gathers guidance, tool taxonomies and community‑produced documents on SBOM creation, sharing, and use cases for both producers and consumers. CISA highlights SBOM attributes, VEX advisories, and recommends SBOM adoption to speed vulnerability response and improve risk assessments. The portal links NTIA outputs and community workgroups, emphasising operationalisation, formats such as SPDX and CycloneDX, and practical steps for integrating SBOMs into procurement, incident response and continuous monitoring programmes and supply chain transparency.</w:t>
      </w:r>
      <w:r/>
    </w:p>
    <w:p>
      <w:pPr>
        <w:pStyle w:val="ListNumber"/>
        <w:spacing w:line="240" w:lineRule="auto"/>
        <w:ind w:left="720"/>
      </w:pPr>
      <w:r/>
      <w:hyperlink r:id="rId15">
        <w:r>
          <w:rPr>
            <w:color w:val="0000EE"/>
            <w:u w:val="single"/>
          </w:rPr>
          <w:t>https://eur-lex.europa.eu/eli/reg/2022/2554/oj/</w:t>
        </w:r>
      </w:hyperlink>
      <w:r>
        <w:t xml:space="preserve"> - The Digital Operational Resilience Act (DORA), Regulation (EU) 2022/2554, establishes harmonised rules to strengthen digital resilience across the EU financial sector, applying from 17 January 2025. DORA mandates ICT risk management, incident reporting, digital operational resilience testing, and explicit ICT third‑party risk controls including key contractual provisions and oversight of critical third‑party providers. The regulation requires financial entities to monitor vendors, manage concentration risk, and ensure contractual rights for audits and incident notification. DORA also sets an EU oversight framework for critical ICT providers and asks competent authorities and the ESAs to develop technical standards for reporting and supervision and penalties.</w:t>
      </w:r>
      <w:r/>
    </w:p>
    <w:p>
      <w:pPr>
        <w:pStyle w:val="ListNumber"/>
        <w:spacing w:line="240" w:lineRule="auto"/>
        <w:ind w:left="720"/>
      </w:pPr>
      <w:r/>
      <w:hyperlink r:id="rId16">
        <w:r>
          <w:rPr>
            <w:color w:val="0000EE"/>
            <w:u w:val="single"/>
          </w:rPr>
          <w:t>https://eur-lex.europa.eu/eli/dir/2022/2555/oj/eng</w:t>
        </w:r>
      </w:hyperlink>
      <w:r>
        <w:t xml:space="preserve"> - Directive (EU) 2022/2555 (NIS2) updates EU cybersecurity rules to raise baseline resilience across essential and important sectors, expanding the scope of organisations subject to requirements and tightening obligations on supply chain security. NIS2 requires member states to adopt national strategies, enforce risk management measures, and include supply chain security in policies and incident handling. The directive obliges entities to assess supplier vulnerabilities, include cybersecurity requirements in procurement, and maintain oversight of suppliers and sub‑processors. NIS2 sets transposition deadlines for member states and promotes information sharing, supervisory powers and penalties to improve accountability for third‑party risks across the Union and cooperation.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how-to-protect-your-digital-supply-chain-from-third-party-breaches/" TargetMode="External"/><Relationship Id="rId11" Type="http://schemas.openxmlformats.org/officeDocument/2006/relationships/hyperlink" Target="https://www.nist.gov/publications/cybersecurity-supply-chain-risk-management-practices-systems-and-organizations" TargetMode="External"/><Relationship Id="rId12" Type="http://schemas.openxmlformats.org/officeDocument/2006/relationships/hyperlink" Target="https://www.nist.gov/publications/zero-trust-architecture-0" TargetMode="External"/><Relationship Id="rId13" Type="http://schemas.openxmlformats.org/officeDocument/2006/relationships/hyperlink" Target="https://enisappd.enisa.europa.eu/publications/threat-landscape-for-supply-chain-attacks" TargetMode="External"/><Relationship Id="rId14" Type="http://schemas.openxmlformats.org/officeDocument/2006/relationships/hyperlink" Target="https://www.cisa.gov/sbom" TargetMode="External"/><Relationship Id="rId15" Type="http://schemas.openxmlformats.org/officeDocument/2006/relationships/hyperlink" Target="https://eur-lex.europa.eu/eli/reg/2022/2554/oj/" TargetMode="External"/><Relationship Id="rId16" Type="http://schemas.openxmlformats.org/officeDocument/2006/relationships/hyperlink" Target="https://eur-lex.europa.eu/eli/dir/2022/2555/oj/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