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Forecasting must become continuous and context rich or firms will lose the edge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Unwanted pallets piled in warehouses while the hottest SKUs fly off the shelves: this familiar misalignment between supply and demand is no longer merely an operational headache. In today’s fast‑moving markets, poor forecasting is an existential risk — it ties up capital, erodes service levels and hands advantage to more adaptable rivals. A recent practitioner guide argued that three forces — fractured data, abrupt external shocks, and human cognitive bias — are the principal enemies of forecast accuracy. Taken together with industry research and policy shifts, those forces point to a single conclusion: forecasting must evolve from a one‑off estimate into a continuous, context‑rich capability that is organisational, technical and cultural.</w:t>
      </w:r>
      <w:r/>
    </w:p>
    <w:p>
      <w:r/>
      <w:r>
        <w:t>Taming the data problem: unify, enrich, govern</w:t>
      </w:r>
      <w:r/>
    </w:p>
    <w:p>
      <w:r/>
      <w:r>
        <w:t>Many forecasting failures begin with the same symptom: data that is everywhere and nowhere. When inventory lives in one system, supplier lead times in another and customer signals in a third, planners lack the single, current view required for probabilistic demand models. SupplyChain Insights has shown that organisations running multiple disconnected platforms suffer larger forecast errors and therefore carry more safety stock — a costly symptom of mistrust in the numbers.</w:t>
      </w:r>
      <w:r/>
    </w:p>
    <w:p>
      <w:r/>
      <w:r>
        <w:t>There is a pragmatic architecture for that problem. Gartner describes the data fabric as a metadata‑driven layer that stitches distributed systems into a unified, searchable plane without forcing wholesale migrations. According to Gartner, data fabric automates discovery, integration and curation so metadata becomes an active source of context rather than passive plumbing. That capability both speeds delivery of analytics and strengthens governance — prerequisites for reliable forecasting.</w:t>
      </w:r>
      <w:r/>
    </w:p>
    <w:p>
      <w:r/>
      <w:r>
        <w:t>But technical plumbing is not enough. McKinsey’s Supply Chain 4.0 work emphasises the value of combining internal signals with external ones — social media trends, sensor feeds and market prices — to produce probabilistic demand distributions rather than single point forecasts. The firm reports that advanced analytics and closed‑loop planning can reduce forecasting error by 30–50%, enabling dynamic safety‑stock rules and more confident commercial actions. In practice, firms are therefore pairing a data fabric or similar hub with “predictive marketplaces” — paid feeds that provide real‑time, domain‑specific context (for example, commodity prices or weather‑driven crop forecasts) — so that planning models run on today’s reality, not last month’s spreadsheets.</w:t>
      </w:r>
      <w:r/>
    </w:p>
    <w:p>
      <w:r/>
      <w:r>
        <w:t>The payoff of these investments is twofold: fewer blind spots and faster, credible responses when signals change. But McKinsey also warns of digital waste — integration and governance failures that leave the technology underused. A unified data architecture must therefore be coupled with clear ownership, curated inputs and metrics that demonstrate value to the business.</w:t>
      </w:r>
      <w:r/>
    </w:p>
    <w:p>
      <w:r/>
      <w:r>
        <w:t>Design for shocks: resilience beats precision</w:t>
      </w:r>
      <w:r/>
    </w:p>
    <w:p>
      <w:r/>
      <w:r>
        <w:t>Even perfect, up‑to‑the‑minute data does not immunise a business from trade wars, sudden regulation, currency shocks or extreme weather. The last decade — from pandemic supply collapses to semiconductor export controls and rapid sustainability mandates — has shown how quickly historical supplier performance can become irrelevant.</w:t>
      </w:r>
      <w:r/>
    </w:p>
    <w:p>
      <w:r/>
      <w:r>
        <w:t>The European Commission’s consultation on the Digital Product Passport, launched in April 2025, illustrates how regulatory change can cascade through product design, sourcing and inventory planning. The Digital Product Passport initiative aims to record product identity and sustainability data to improve traceability and support circular‑economy practices. Companies selling into the EU that are unprepared for such traceability requirements risk swift obsolescence of packaging, labelling or part sets — and the resulting inventory write‑downs.</w:t>
      </w:r>
      <w:r/>
    </w:p>
    <w:p>
      <w:r/>
      <w:r>
        <w:t>The classic bullwhip effect — small consumer demand swings becoming amplified upstream — remains a live threat. MIT Sloan’s analysis explains how demand‑signal distortion, order batching and price promotions can create volatile order patterns that inflate inventory or cause stockouts. Greater visibility and coordination across trading partners, and the smoothing of ordering policies, are practical countermeasures.</w:t>
      </w:r>
      <w:r/>
    </w:p>
    <w:p>
      <w:r/>
      <w:r>
        <w:t>Operationally, resilience requires more than contingency plans on a slide. It demands diversification of suppliers across geographies, explicit supplier‑risk metrics and regular “war‑gaming” of scenarios such as port closures or tier‑2 supplier failures so contingencies are already funded and tested when disruption arrives. Agility in design — interchangeable parts, modular bills of material and nearer‑sourcing options — gives firms options, not only to survive a shock but to capitalise on it.</w:t>
      </w:r>
      <w:r/>
    </w:p>
    <w:p>
      <w:r/>
      <w:r>
        <w:t>Fixing the human factor: make truth safer than comfort</w:t>
      </w:r>
      <w:r/>
    </w:p>
    <w:p>
      <w:r/>
      <w:r>
        <w:t>Even with integrated data and robust contingency plans, people remain a critical source of error. Humans are wired to overweight recent events, chase the latest shiny idea, or avoid dissent to maintain harmony. These tendencies can cause planners to extrapolate one viral sale into a permanent trend, to overcommit to an unproven technology, or to cajole teams into groupthink.</w:t>
      </w:r>
      <w:r/>
    </w:p>
    <w:p>
      <w:r/>
      <w:r>
        <w:t>Decades of organisational research — and recent revisitations — underline how leadership and meeting design shape what gets said. Harvard Business Review’s May–June 2025 piece by Amy Edmondson and Michaela Kerrissey clarifies that psychological safety is not the same as comfort; it requires deliberate leadership practices that encourage candid reporting and constructive challenge. Firms that reward early problem‑spotting, create structured dissent roles and make it normal to be wrong quickly learn faster.</w:t>
      </w:r>
      <w:r/>
    </w:p>
    <w:p>
      <w:r/>
      <w:r>
        <w:t>Practical habits that improve forecast quality are low‑tech and high‑impact: appoint a named challenger in forecasting reviews whose job is to test assumptions; run pre‑mortems before major plans to surface failure modes; and change incentives so accurate, humble forecasts are valued more than optimistic cover. These behavioural interventions complement the technical ones — a devil’s advocate with access to rich data is far more effective than one with a spreadsheet.</w:t>
      </w:r>
      <w:r/>
    </w:p>
    <w:p>
      <w:r/>
      <w:r>
        <w:t>A convergent playbook</w:t>
      </w:r>
      <w:r/>
    </w:p>
    <w:p>
      <w:r/>
      <w:r>
        <w:t>Taken together, the technical, operational and cultural responses form a coherent playbook:</w:t>
      </w:r>
      <w:r/>
      <w:r/>
    </w:p>
    <w:p>
      <w:pPr>
        <w:pStyle w:val="ListBullet"/>
        <w:spacing w:line="240" w:lineRule="auto"/>
        <w:ind w:left="720"/>
      </w:pPr>
      <w:r/>
      <w:r>
        <w:t>Build a unified data layer and governance model (data fabric or equivalent) so forecasts run on a single, current set of facts. Gartner’s framing makes clear this is about metadata‑driven access and automation, not one more migration project.</w:t>
      </w:r>
      <w:r/>
    </w:p>
    <w:p>
      <w:pPr>
        <w:pStyle w:val="ListBullet"/>
        <w:spacing w:line="240" w:lineRule="auto"/>
        <w:ind w:left="720"/>
      </w:pPr>
      <w:r/>
      <w:r>
        <w:t>Enrich internal data with external feeds and sensors to move from point estimates to probabilistic scenarios. McKinsey’s Supply Chain 4.0 work shows how closed‑loop planning and advanced analytics can materially reduce error when deployed end‑to‑end.</w:t>
      </w:r>
      <w:r/>
    </w:p>
    <w:p>
      <w:pPr>
        <w:pStyle w:val="ListBullet"/>
        <w:spacing w:line="240" w:lineRule="auto"/>
        <w:ind w:left="720"/>
      </w:pPr>
      <w:r/>
      <w:r>
        <w:t>Design supply chains for optionality: diversify suppliers, modularise product design and practise war‑games so plans are actionable under stress. MIT Sloan’s lessons on the bullwhip effect remind planners that visibility and co‑ordination reduce amplification.</w:t>
      </w:r>
      <w:r/>
    </w:p>
    <w:p>
      <w:pPr>
        <w:pStyle w:val="ListBullet"/>
        <w:spacing w:line="240" w:lineRule="auto"/>
        <w:ind w:left="720"/>
      </w:pPr>
      <w:r/>
      <w:r>
        <w:t>Embed resilience for regulatory change: track emerging requirements such as the EU’s Digital Product Passport and map impacts to bills of material and compliance workflows well before enforcement timelines.</w:t>
      </w:r>
      <w:r/>
    </w:p>
    <w:p>
      <w:pPr>
        <w:pStyle w:val="ListBullet"/>
        <w:spacing w:line="240" w:lineRule="auto"/>
        <w:ind w:left="720"/>
      </w:pPr>
      <w:r/>
      <w:r>
        <w:t>Institutionalise dissent and learning: create roles and rituals (devil’s advocates, pre‑mortems, explicit celebration of honest mistakes) so organisational psychology helps, not hinders, detection of forecast risk. Harvard Business Review’s recent work emphasises leadership behaviours that make this stick.</w:t>
      </w:r>
      <w:r/>
      <w:r/>
    </w:p>
    <w:p>
      <w:r/>
      <w:r>
        <w:t>Forecasting is not dead; it must be reimagined. The old model — static plans, siloed data and deference to hierarchy — has been exposed by pandemic shocks, trade shifts and sustainability mandates. The firms that will thrive are those that stop pretending they can perfectly predict the future and instead build systems that see the present clearly, simulate plausible futures economically, and mobilise people to act when surprises arrive.</w:t>
      </w:r>
      <w:r/>
    </w:p>
    <w:p>
      <w:r/>
      <w:r>
        <w:t>In short: less crystal‑balling, more preparedness. The margin between winners and losers will be measured in the speed at which organisations can convert new information into better decisions — technically supported, operationally feasible and culturally encouraged. The time to start is now.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https://medium.com/@belletao/forecast-accuracy-risks-key-factors-undermining-supply-chain-predictions-e10f23344115?source=rss------product_management-5</w:t>
        </w:r>
      </w:hyperlink>
      <w:r>
        <w:t xml:space="preserve"> - Please view link - unable to able to access data</w:t>
      </w:r>
      <w:r/>
    </w:p>
    <w:p>
      <w:pPr>
        <w:pStyle w:val="ListNumber"/>
        <w:spacing w:line="240" w:lineRule="auto"/>
        <w:ind w:left="720"/>
      </w:pPr>
      <w:r/>
      <w:hyperlink r:id="rId11">
        <w:r>
          <w:rPr>
            <w:color w:val="0000EE"/>
            <w:u w:val="single"/>
          </w:rPr>
          <w:t>https://www.gartner.com/en/data-analytics/topics/data-fabric</w:t>
        </w:r>
      </w:hyperlink>
      <w:r>
        <w:t xml:space="preserve"> - Gartner’s explainer on data fabric describes an architecture that creates a unified, metadata-driven layer across distributed systems, enabling real‑time access to business data without wholesale migration. It argues data fabric automates discovery, integration and curation, turning passive metadata into active, contextual insights and speeding time to value. Benefits include faster data delivery to analytics users, reduced integration effort, improved governance and the ability to support composable analytics across hybrid environments. The page positions data fabric as a practical approach to break down silos and support advanced forecasting and predictive analytics in complex supply chains and operational agility for competitive advantage.</w:t>
      </w:r>
      <w:r/>
    </w:p>
    <w:p>
      <w:pPr>
        <w:pStyle w:val="ListNumber"/>
        <w:spacing w:line="240" w:lineRule="auto"/>
        <w:ind w:left="720"/>
      </w:pPr>
      <w:r/>
      <w:hyperlink r:id="rId12">
        <w:r>
          <w:rPr>
            <w:color w:val="0000EE"/>
            <w:u w:val="single"/>
          </w:rPr>
          <w:t>https://www.mckinsey.com/capabilities/operations/our-insights/supply-chain-40--the-next-generation-digital-supply-chain</w:t>
        </w:r>
      </w:hyperlink>
      <w:r>
        <w:t xml:space="preserve"> - McKinsey’s Supply Chain 4.0 overview explains how advanced analytics, machine learning and integrated planning transform forecasting and inventory management. It highlights predictive analytics and closed‑loop planning as levers that analyse internal and external signals — from social media to sensor data — to produce probabilistic demand distributions rather than single estimates. The firm reports potential forecasting‑error reductions of 30–50% using these techniques, enabling dynamic safety‑stock and price actions. The paper warns of digital waste from poor data practices and recommends end‑to‑end integration to capture value, arguing modern, automated planning is crucial to make supply chains both more efficient and resilient.</w:t>
      </w:r>
      <w:r/>
    </w:p>
    <w:p>
      <w:pPr>
        <w:pStyle w:val="ListNumber"/>
        <w:spacing w:line="240" w:lineRule="auto"/>
        <w:ind w:left="720"/>
      </w:pPr>
      <w:r/>
      <w:hyperlink r:id="rId13">
        <w:r>
          <w:rPr>
            <w:color w:val="0000EE"/>
            <w:u w:val="single"/>
          </w:rPr>
          <w:t>https://single-market-economy.ec.europa.eu/news/commission-launches-consultation-digital-product-passport-2025-04-09_en</w:t>
        </w:r>
      </w:hyperlink>
      <w:r>
        <w:t xml:space="preserve"> - European Commission guidance on the Digital Product Passport (DPP) explains the measure under the Ecodesign for Sustainable Products Regulation to record product identity, sustainability and compliance data in a digital format. The Commission says DPPs will improve traceability, help enforcement and enable circular‑economy activities like repair, reuse and recycling. It describes plans for registers, unique identifiers and stakeholder consultation to define data storage and service‑provider roles. The initiative aims to make product lifecycle information available to consumers, businesses and authorities, supporting faster conformity checks and driving supply‑chain transparency for companies selling into the EU market while reducing greenwashing risks effectively.</w:t>
      </w:r>
      <w:r/>
    </w:p>
    <w:p>
      <w:pPr>
        <w:pStyle w:val="ListNumber"/>
        <w:spacing w:line="240" w:lineRule="auto"/>
        <w:ind w:left="720"/>
      </w:pPr>
      <w:r/>
      <w:hyperlink r:id="rId14">
        <w:r>
          <w:rPr>
            <w:color w:val="0000EE"/>
            <w:u w:val="single"/>
          </w:rPr>
          <w:t>https://sloanreview.mit.edu/article/the-bullwhip-effect-in-supply-chains/</w:t>
        </w:r>
      </w:hyperlink>
      <w:r>
        <w:t xml:space="preserve"> - MIT Sloan’s article on the bullwhip effect explains how small fluctuations in consumer demand can be amplified into much larger order variability upstream, causing excess inventory, stockouts and unstable production. It traces causes to demand‑signal processing, order batching, price promotions and rationing, and uses case studies such as P&amp;G and HP to illustrate distortion of information along the chain. The piece stresses the importance of information sharing — for example point‑of‑sale transmission — and co‑ordination across retailers, distributors and manufacturers to mitigate amplification. Practical countermeasures include smoother ordering policies, improved visibility and collaborative forecasting across trading partners to reduce waste.</w:t>
      </w:r>
      <w:r/>
    </w:p>
    <w:p>
      <w:pPr>
        <w:pStyle w:val="ListNumber"/>
        <w:spacing w:line="240" w:lineRule="auto"/>
        <w:ind w:left="720"/>
      </w:pPr>
      <w:r/>
      <w:hyperlink r:id="rId15">
        <w:r>
          <w:rPr>
            <w:color w:val="0000EE"/>
            <w:u w:val="single"/>
          </w:rPr>
          <w:t>https://hbr.org/2020/03/coronavirus-is-a-wake-up-call-for-supply-chain-management</w:t>
        </w:r>
      </w:hyperlink>
      <w:r>
        <w:t xml:space="preserve"> - Harvard Business Review’s March 2020 piece argues Covid‑19 exposed fragile supply chains and the risks of limited visibility. Authors show many organisations scrambled to identify suppliers and site impacts because mapping was incomplete, leaving procurement teams reactive and slow. Firms that had invested in mapping and monitoring suppliers fared better, able to prioritise at‑risk parts and secure capacity. HBR recommends firms incorporate disruption metrics into supplier evaluation, develop supplier mapping into lower tiers and use new monitoring services to detect issues early. The article frames pandemic lessons as a call to build proactive, risk‑aware supply‑chain management practices for long‑term resilience.</w:t>
      </w:r>
      <w:r/>
    </w:p>
    <w:p>
      <w:pPr>
        <w:pStyle w:val="ListNumber"/>
        <w:spacing w:line="240" w:lineRule="auto"/>
        <w:ind w:left="720"/>
      </w:pPr>
      <w:r/>
      <w:hyperlink r:id="rId16">
        <w:r>
          <w:rPr>
            <w:color w:val="0000EE"/>
            <w:u w:val="single"/>
          </w:rPr>
          <w:t>https://hbr.org/2025/05/what-people-get-wrong-about-psychological-safety</w:t>
        </w:r>
      </w:hyperlink>
      <w:r>
        <w:t xml:space="preserve"> - HBR’s May–June 2025 article by Amy Edmondson and Michaela Kerrissey revisits psychological safety and its role in organisational learning and decision‑making. The authors clarify common misconceptions, emphasise that psychological safety is distinct from comfort and requires explicit leadership practices, and explain how it enables candid reporting of problems and early detection of risks. They argue celebrating honest mistakes, encouraging dissent, and structuring roles (such as devil’s advocate) strengthens forecasting by surfacing contrary evidence. The piece gives practical advice for leaders to design meeting norms, feedback loops and incentives so teams can challenge assumptions without fear, improving resilience and forecasting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um.com/@belletao/forecast-accuracy-risks-key-factors-undermining-supply-chain-predictions-e10f23344115?source=rss------product_management-5" TargetMode="External"/><Relationship Id="rId11" Type="http://schemas.openxmlformats.org/officeDocument/2006/relationships/hyperlink" Target="https://www.gartner.com/en/data-analytics/topics/data-fabric" TargetMode="External"/><Relationship Id="rId12" Type="http://schemas.openxmlformats.org/officeDocument/2006/relationships/hyperlink" Target="https://www.mckinsey.com/capabilities/operations/our-insights/supply-chain-40--the-next-generation-digital-supply-chain" TargetMode="External"/><Relationship Id="rId13" Type="http://schemas.openxmlformats.org/officeDocument/2006/relationships/hyperlink" Target="https://single-market-economy.ec.europa.eu/news/commission-launches-consultation-digital-product-passport-2025-04-09_en" TargetMode="External"/><Relationship Id="rId14" Type="http://schemas.openxmlformats.org/officeDocument/2006/relationships/hyperlink" Target="https://sloanreview.mit.edu/article/the-bullwhip-effect-in-supply-chains/" TargetMode="External"/><Relationship Id="rId15" Type="http://schemas.openxmlformats.org/officeDocument/2006/relationships/hyperlink" Target="https://hbr.org/2020/03/coronavirus-is-a-wake-up-call-for-supply-chain-management" TargetMode="External"/><Relationship Id="rId16" Type="http://schemas.openxmlformats.org/officeDocument/2006/relationships/hyperlink" Target="https://hbr.org/2025/05/what-people-get-wrong-about-psychological-safe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