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turns to continuous, relationship‑aware sanctions screening as regulators tighten the screws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geopolitical shocks multiply and sanctions lists proliferate, procurement teams are being forced to look further down their supplier trees than ever before. What began as periodic, point‑in‑time checks of Tier 1 partners has become — by regulator insistence and competitive necessity — an around‑the‑clock exercise in mapping ownership, intermediaries and indirect links several layers deep.</w:t>
      </w:r>
      <w:r/>
    </w:p>
    <w:p>
      <w:r/>
      <w:r>
        <w:t>According to the original SupplyChain360 report, buyers are increasingly deploying AI‑driven, graph‑based screening systems that continuously scan supplier ecosystems for direct and indirect sanctions exposure, pulling together watchlists, trade records, beneficial‑ownership registries and relationship graphs. The shift is not purely technical: it responds to an unmistakable signal from regulators that static checks are no longer sufficient.</w:t>
      </w:r>
      <w:r/>
    </w:p>
    <w:p>
      <w:r/>
      <w:r>
        <w:t>Regulators have explicitly raised the bar. The US Treasury’s Office of Foreign Assets Control set out in its Framework for Compliance Commitments that effective sanctions programmes should include risk assessment, internal controls, governance, testing and training — and that continuous monitoring, screening and remediation are expected components of lifecycle‑wide compliance. OFAC’s guidance stresses the need for “continuous screening and re‑screening” of counterparties rather than one‑off vetting. The message is clear: firms operating under US jurisdiction, or trading in goods or services involving US persons or origin, must design controls that can keep pace with rapidly changing designations and export restrictions.</w:t>
      </w:r>
      <w:r/>
    </w:p>
    <w:p>
      <w:r/>
      <w:r>
        <w:t>Recent enforcement actions provide a practical demonstration of the risk. A joint Bureau of Industry and Security and OFAC settlement with Microsoft highlighted how licensing and reseller models can permit sanctioned end users to access US software when screening gaps exist across subsidiaries and distributors. The Treasury said the case underlined the danger of fragmented controls and the regulator’s expectation of end‑to‑end oversight that aggregates customer and partner data. Separately, the SupplyChain360 piece cited an earlier enforcement matter in which a £/$4.4 million penalty was imposed on a UK firm for failing to continuously screen service providers that became sanctioned after onboarding — an outcome that intensified compliance teams’ focus on persistent surveillance.</w:t>
      </w:r>
      <w:r/>
    </w:p>
    <w:p>
      <w:r/>
      <w:r>
        <w:t>The practical implications have been especially visible in export‑control actions. When the US added affiliates of large genomics companies to the Entity List in March 2023, universities and healthcare institutions that relied on third‑party equipment and services were suddenly exposed to complex licensing regimes and presumptions of denial. Legal advisers warned that organisations must immediately reassess contractual arrangements and supply‑chain dependencies in light of such listings.</w:t>
      </w:r>
      <w:r/>
    </w:p>
    <w:p>
      <w:r/>
      <w:r>
        <w:t>How the new monitoring layer works</w:t>
      </w:r>
      <w:r/>
    </w:p>
    <w:p>
      <w:r/>
      <w:r>
        <w:t>Vendors now pitch an expanded sanctions‑risk stack that goes beyond watchlist matching to relationship awareness and behavioural signals. Key components being emphasised in the field include:</w:t>
      </w:r>
      <w:r/>
      <w:r/>
    </w:p>
    <w:p>
      <w:pPr>
        <w:pStyle w:val="ListBullet"/>
        <w:spacing w:line="240" w:lineRule="auto"/>
        <w:ind w:left="720"/>
      </w:pPr>
      <w:r/>
      <w:r>
        <w:t>Relationship‑aware entity mapping: AI and graph analytics build connection maps linking a direct supplier to shareholders, subsidiaries, agents and jurisdictions, surfacing complex ownership structures and apparent intermediaries.</w:t>
      </w:r>
      <w:r/>
    </w:p>
    <w:p>
      <w:pPr>
        <w:pStyle w:val="ListBullet"/>
        <w:spacing w:line="240" w:lineRule="auto"/>
        <w:ind w:left="720"/>
      </w:pPr>
      <w:r/>
      <w:r>
        <w:t>Real‑time list monitoring: daily ingestion of updates from OFAC, the EU, UK HM Treasury, the UN and regional authorities to pick up designations, sectoral measures and export restrictions as they occur.</w:t>
      </w:r>
      <w:r/>
    </w:p>
    <w:p>
      <w:pPr>
        <w:pStyle w:val="ListBullet"/>
        <w:spacing w:line="240" w:lineRule="auto"/>
        <w:ind w:left="720"/>
      </w:pPr>
      <w:r/>
      <w:r>
        <w:t>Beneficial‑ownership resolution: tools attempt to trace registered entities to ultimate beneficial owners even when ownership is layered across jurisdictions or nominees, reducing the risk that a “clean” supplier is a front for a sanctioned party.</w:t>
      </w:r>
      <w:r/>
    </w:p>
    <w:p>
      <w:pPr>
        <w:pStyle w:val="ListBullet"/>
        <w:spacing w:line="240" w:lineRule="auto"/>
        <w:ind w:left="720"/>
      </w:pPr>
      <w:r/>
      <w:r>
        <w:t>Tier‑2 and Tier‑3 exposure detection: systems reconcile historical purchase orders, invoices and shipment records to identify indirect suppliers and subcontractors that may have entered the value chain outside formal onboarding.</w:t>
      </w:r>
      <w:r/>
    </w:p>
    <w:p>
      <w:pPr>
        <w:pStyle w:val="ListBullet"/>
        <w:spacing w:line="240" w:lineRule="auto"/>
        <w:ind w:left="720"/>
      </w:pPr>
      <w:r/>
      <w:r>
        <w:t>Risk routing and response triggers: when matches or proximity alerts occur, platforms can automatically escalate to procurement, legal or compliance teams, freeze spend, trigger audits or propose supplier substitution.</w:t>
      </w:r>
      <w:r/>
      <w:r/>
    </w:p>
    <w:p>
      <w:r/>
      <w:r>
        <w:t>Vendors frame these capabilities differently, and with varying claims. Sayari emphasises pre‑computed corporate linkages and multilingual public‑records search to expose indirect exposure and apply rules such as OFAC’s 50% rule; Exiger promotes continuous adverse‑media and watchlist monitoring with natural‑language processing to reduce false positives and prioritise alerts; Dun &amp; Bradstreet highlights near‑real‑time data feeds, API integration and AI‑driven risk scores to map multi‑tier supply chains and notify users when supplier exposure changes. These offerings, according to the suppliers’ own materials, are designed to integrate into procurement workflows and accelerate investigation and disposition.</w:t>
      </w:r>
      <w:r/>
    </w:p>
    <w:p>
      <w:r/>
      <w:r>
        <w:t>What this means for procurement and compliance</w:t>
      </w:r>
      <w:r/>
    </w:p>
    <w:p>
      <w:r/>
      <w:r>
        <w:t>The transition from gatekeeping to signal‑layer marks a strategic change. Continuous sanctions monitoring no longer sits only in legal or compliance checklists: it provides operational intelligence about structural dependencies, hidden intermediaries and opaque sourcing routes. When mapped across the value chain, the same graphs that flag ownership exposure reveal where procurement control is weakest, where single‑source dependencies lie, and where substitute sourcing may be needed quickly.</w:t>
      </w:r>
      <w:r/>
    </w:p>
    <w:p>
      <w:r/>
      <w:r>
        <w:t>That said, technology is not a panacea. Data quality, international corporate opacity, false positives and the costs of comprehensive coverage are real constraints. Vendors acknowledge these limits: several highlight methods to reduce false positives and accelerate human review, but procurement teams must still marry automated alerts to governance, testing and staff training. OFAC’s Framework underscores that technical solutions should be proportionate to risk and embedded in documented procedures, with regular testing and escalation protocols.</w:t>
      </w:r>
      <w:r/>
    </w:p>
    <w:p>
      <w:r/>
      <w:r>
        <w:t>For organisations operating across borders, the calculus is also legal and reputational: export‑control designations or a sudden listing of a critical supplier’s affiliate can force immediate changes in contracting, licensing and research partnerships. Legal advisers have repeatedly urged institutions — especially in research, healthcare and education — to perform rapid impact assessments and revise contractual protections where necessary.</w:t>
      </w:r>
      <w:r/>
    </w:p>
    <w:p>
      <w:r/>
      <w:r>
        <w:t>In short, the expansion of sanctions monitoring into Tier‑2 and Tier‑3 layers reflects a new reality in which compliance and commercial resilience are intertwined. Companies that invest in persistent, relationship‑aware monitoring and bind it to robust governance and human judgement are likely to be better positioned to respond to sudden policy shifts. Those that do not risk regulatory action and the operational shock that follows when an unseen counterparty is suddenly placed off limits.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https://supplychain360.io/ai-sanctions-monitoring-expands-to-tier-3-suppliers/?utm_source=rss&amp;utm_medium=rss&amp;utm_campaign=ai-sanctions-monitoring-expands-to-tier-3-suppliers</w:t>
        </w:r>
      </w:hyperlink>
      <w:r>
        <w:t xml:space="preserve"> - Please view link - unable to able to access data</w:t>
      </w:r>
      <w:r/>
    </w:p>
    <w:p>
      <w:pPr>
        <w:pStyle w:val="ListNumber"/>
        <w:spacing w:line="240" w:lineRule="auto"/>
        <w:ind w:left="720"/>
      </w:pPr>
      <w:r/>
      <w:hyperlink r:id="rId11">
        <w:r>
          <w:rPr>
            <w:color w:val="0000EE"/>
            <w:u w:val="single"/>
          </w:rPr>
          <w:t>https://home.treasury.gov/news/press-releases/sm680</w:t>
        </w:r>
      </w:hyperlink>
      <w:r>
        <w:t xml:space="preserve"> - OFAC's 'Framework for Compliance Commitments' sets out essential components of an effective sanctions compliance programme, emphasising risk assessment, internal controls, governance, testing and training. It explains how OFAC evaluates compliance efforts in enforcement matters and urges firms to implement robust, documented procedures proportionate to their risk. The Framework highlights expectations for continuous monitoring, screening, and remediation, and recommends systems that integrate watchlists, transaction controls and reporting. Designed for entities under US jurisdiction and foreign parties dealing with US persons or origin goods, the guidance aims to raise standards industry-wide and reduce inadvertent violations through proactive, lifecycle‑wide compliance measures and accountability.</w:t>
      </w:r>
      <w:r/>
    </w:p>
    <w:p>
      <w:pPr>
        <w:pStyle w:val="ListNumber"/>
        <w:spacing w:line="240" w:lineRule="auto"/>
        <w:ind w:left="720"/>
      </w:pPr>
      <w:r/>
      <w:hyperlink r:id="rId12">
        <w:r>
          <w:rPr>
            <w:color w:val="0000EE"/>
            <w:u w:val="single"/>
          </w:rPr>
          <w:t>https://home.treasury.gov/news/press-releases/jy1394</w:t>
        </w:r>
      </w:hyperlink>
      <w:r>
        <w:t xml:space="preserve"> - The joint BIS and OFAC enforcement action against Microsoft describes a combined $3.3 million settlement resolving alleged export control and sanctions violations where Microsoft’s licensing and reseller model enabled sanctioned end‑users to access U.S. software and services. The release emphasises risks arising from sales through foreign subsidiaries, distributors and licensing partners, noting screening gaps and failures to aggregate customer data. It documents Microsoft’s voluntary self‑disclosure and remedial measures, and signals regulators’ expectation that multinational firms maintain end‑to‑end controls, continuous screening and oversight of affiliates. The case illustrates how indirect supply‑chain links can create substantial sanctions exposure and enforcement risk globally.</w:t>
      </w:r>
      <w:r/>
    </w:p>
    <w:p>
      <w:pPr>
        <w:pStyle w:val="ListNumber"/>
        <w:spacing w:line="240" w:lineRule="auto"/>
        <w:ind w:left="720"/>
      </w:pPr>
      <w:r/>
      <w:hyperlink r:id="rId13">
        <w:r>
          <w:rPr>
            <w:color w:val="0000EE"/>
            <w:u w:val="single"/>
          </w:rPr>
          <w:t>https://www.ropesgray.com/en/insights/alerts/2023/04/bis-imposes-export-restrictions-on-bgi-group-the-worlds-largest-genomics-company</w:t>
        </w:r>
      </w:hyperlink>
      <w:r>
        <w:t xml:space="preserve"> - Ropes &amp; Gray explains that on 2 March 2023 the Bureau of Industry and Security amended the Entity List to add multiple entities, including subsidiaries of BGI Group, imposing export restrictions and licensing requirements under the Export Administration Regulations. The alert outlines practical implications for universities and institutions that rely on BGI services, emphasising that most licences will be reviewed under a presumption of denial. It details which BGI affiliates were listed and stresses immediate compliance obligations for parties transferring items subject to the EAR. The note guides organisations through assessing contractual and supply‑chain impacts stemming from the designation directly.</w:t>
      </w:r>
      <w:r/>
    </w:p>
    <w:p>
      <w:pPr>
        <w:pStyle w:val="ListNumber"/>
        <w:spacing w:line="240" w:lineRule="auto"/>
        <w:ind w:left="720"/>
      </w:pPr>
      <w:r/>
      <w:hyperlink r:id="rId14">
        <w:r>
          <w:rPr>
            <w:color w:val="0000EE"/>
            <w:u w:val="single"/>
          </w:rPr>
          <w:t>https://sayari.com/sanctions-compliance/</w:t>
        </w:r>
      </w:hyperlink>
      <w:r>
        <w:t xml:space="preserve"> - Sayari’s sanctions compliance offering uses graph analytics and global public‑records data to map ownership structures, subsidiaries and beneficial owners across jurisdictions. The platform pre‑computes corporate linkages to reveal indirect exposure to sanctioned parties and applies rules such as OFAC’s 50% rule to flag hidden relationships. Sayari emphasises continuous data refreshes, original source documentation and multilingual search to support investigations and screening. Its tools integrate watchlists and help reduce false positives, accelerate disposition and inform export control, trade compliance and supplier due diligence. Sayari markets its solution to financial institutions, multinational corporations and government agencies seeking persistent, relationship‑aware sanctions monitoring capability.</w:t>
      </w:r>
      <w:r/>
    </w:p>
    <w:p>
      <w:pPr>
        <w:pStyle w:val="ListNumber"/>
        <w:spacing w:line="240" w:lineRule="auto"/>
        <w:ind w:left="720"/>
      </w:pPr>
      <w:r/>
      <w:hyperlink r:id="rId15">
        <w:r>
          <w:rPr>
            <w:color w:val="0000EE"/>
            <w:u w:val="single"/>
          </w:rPr>
          <w:t>https://www.exiger.com/products/screeniq-adverse-media-monitoring/</w:t>
        </w:r>
      </w:hyperlink>
      <w:r>
        <w:t xml:space="preserve"> - Exiger’s ScreenIQ and DDIQ platforms promote continuous sanctions and adverse‑media monitoring, leveraging AI and NLP to reduce false positives and prioritise actionable alerts. ScreenIQ is designed for integration with procurement, ERP and case‑management workflows to automate watchlist screening and escalate high‑risk findings to compliance teams. Exiger emphasises supply‑chain visibility, benefitting investigations by surfacing ownership links, PEP status and contextual media. The company positions its tools as purpose‑built for modern sanctions challenges, enabling persistent screening rather than batch checks and supporting rapid adjudication and audit trails. Exiger targets compliance, legal and procurement functions seeking scalable, relationship‑aware monitoring and operational risk reduction.</w:t>
      </w:r>
      <w:r/>
    </w:p>
    <w:p>
      <w:pPr>
        <w:pStyle w:val="ListNumber"/>
        <w:spacing w:line="240" w:lineRule="auto"/>
        <w:ind w:left="720"/>
      </w:pPr>
      <w:r/>
      <w:hyperlink r:id="rId16">
        <w:r>
          <w:rPr>
            <w:color w:val="0000EE"/>
            <w:u w:val="single"/>
          </w:rPr>
          <w:t>https://www.dnb.com/solutions/third-party-risk/third-party-supplier-risk-management.html</w:t>
        </w:r>
      </w:hyperlink>
      <w:r>
        <w:t xml:space="preserve"> - Dun &amp; Bradstreet’s third‑party risk and supplier intelligence solutions deliver near‑real‑time data and analytics to help procurement teams map multi‑tier supply chains, identify ultimate beneficial owners and monitor suppliers for adverse events. D&amp;B’s Risk Analytics and Supplier Risk Manager provide watchlists, automated alerts, corporate linkage views and tier‑2/3 association features, enabling continuous monitoring and proactive remediation. The firm highlights API integration, AI‑driven risk scores and the ability to trigger notifications when supplier exposure changes, supporting fast decision making and supplier substitution. D&amp;B positions its Data Cloud as a source of truth for uncovering hidden intermediaries and reducing downstream sanctions risk.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360.io/ai-sanctions-monitoring-expands-to-tier-3-suppliers/?utm_source=rss&amp;utm_medium=rss&amp;utm_campaign=ai-sanctions-monitoring-expands-to-tier-3-suppliers" TargetMode="External"/><Relationship Id="rId11" Type="http://schemas.openxmlformats.org/officeDocument/2006/relationships/hyperlink" Target="https://home.treasury.gov/news/press-releases/sm680" TargetMode="External"/><Relationship Id="rId12" Type="http://schemas.openxmlformats.org/officeDocument/2006/relationships/hyperlink" Target="https://home.treasury.gov/news/press-releases/jy1394" TargetMode="External"/><Relationship Id="rId13" Type="http://schemas.openxmlformats.org/officeDocument/2006/relationships/hyperlink" Target="https://www.ropesgray.com/en/insights/alerts/2023/04/bis-imposes-export-restrictions-on-bgi-group-the-worlds-largest-genomics-company" TargetMode="External"/><Relationship Id="rId14" Type="http://schemas.openxmlformats.org/officeDocument/2006/relationships/hyperlink" Target="https://sayari.com/sanctions-compliance/" TargetMode="External"/><Relationship Id="rId15" Type="http://schemas.openxmlformats.org/officeDocument/2006/relationships/hyperlink" Target="https://www.exiger.com/products/screeniq-adverse-media-monitoring/" TargetMode="External"/><Relationship Id="rId16" Type="http://schemas.openxmlformats.org/officeDocument/2006/relationships/hyperlink" Target="https://www.dnb.com/solutions/third-party-risk/third-party-supplier-risk-managemen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