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architects must rebuild Industry 4.0 as an enterprise capability, not a vendor pitch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debate over what “Industry 4.0” actually means is no longer an academic quarrel: it is a practical problem that determines who gets invited to the table when firms design their digital futures. Peter Klement argues that the term’s vendor-driven plurality of definitions leaves many organisations confused, and that the simplest remedy is to return to the institutional sources that first shaped the concept. That advice is persuasive — but it understates the scale of the work that enterprise architects must now undertake if they are to turn Industry 4.0 from a set of vendor pitches into a coherent business capability.</w:t>
      </w:r>
      <w:r/>
    </w:p>
    <w:p>
      <w:r/>
      <w:r>
        <w:t>Platform Industrie 4.0, the German government‑backed initiative that helped coin and steward the concept, offers a useful baseline. The platform’s public materials set Industry 4.0 in the context of national industrial competitiveness: technical foundations, working‑group recommendations, data‑space projects and practical guidance for small and medium‑sized enterprises. Its emphasis on standardisation, trust, cybersecurity and workforce readiness shows why Industry 4.0 is as much about governance and people as it is about sensors and code. According to the platform, these foundations are intended to help diverse industries adopt the same essential principles in a way that protects data sovereignty and supports policy aims.</w:t>
      </w:r>
      <w:r/>
    </w:p>
    <w:p>
      <w:r/>
      <w:r>
        <w:t>That governance and standardisation agenda is materialised in projects such as Gaia‑X and Catena‑X. The Gaia‑X architecture document sets out a trust and interoperability framework for federated data ecosystems: decentralised service delivery, technical compatibility and mechanisms to preserve sovereignty while enabling secure exchange. Catena‑X is the automotive sector’s practical response: an open, non‑commercial data ecosystem that defines common data models, KITS and onboarding patterns so OEMs, suppliers and third parties can share multi‑tier supply‑chain data while retaining control over who sees what. Catena‑X’s technical KITS and open‑source code, published through the Eclipse Tractus‑X project, are deliberately pragmatic: they translate abstract principles into implementable building blocks for traceability, quality management and sustainability use cases such as product carbon footprinting and battery traceability.</w:t>
      </w:r>
      <w:r/>
    </w:p>
    <w:p>
      <w:r/>
      <w:r>
        <w:t>For enterprise architects the implication is clear: Industry 4.0 is not a discrete factory project but a cross‑enterprise redesign problem. The Sustainable Supply Chain Framework (S2CF), an open collaboration between Platform Industrie 4.0 and the MIT alumni network, takes precisely this posture. The S2CF treats sustainability as a triple‑bottom‑line problem — environmental, social and economic — and models solutions across three layers: industry use cases, enterprise capability, and multi‑firm supply‑chain views. Its GitHub wiki makes explicit what many X‑initiatives leave implicit: that standards and data spaces must be translated into business processes, enterprise blueprints and technology‑landscape changes. The framework’s artefacts are being captured in ArchiMate, BPMN and UML to encourage reuse, but contributors have already flagged modelling gaps in industrial and automation notations that need to be closed if architects are to represent OT concerns accurately alongside IT and business flows.</w:t>
      </w:r>
      <w:r/>
    </w:p>
    <w:p>
      <w:r/>
      <w:r>
        <w:t>The practical value of bridging those gaps is illustrated by an international fast‑moving consumer‑goods manufacturer described by Klement. A programme that began as an ERP consolidation and cloud migration included sensor‑based quality checks, connected coolers to automate restocking, and even tap sensors to trial “beer as a service.” Crucially, the transformation fused Big‑Four operating‑model deliverables, SAP blueprints and automation artefacts into a single line‑of‑sight from business process to control‑system implementation. That integration, sponsored by the supply‑chain director and accompanied by an organisational move of IT from the CFO to the COO, converted enterprise architecture from an IT function into an operational capability that creates revenue‑side value.</w:t>
      </w:r>
      <w:r/>
    </w:p>
    <w:p>
      <w:r/>
      <w:r>
        <w:t>Those success stories do not diminish the obstacles. Vendors still ship products that do not natively implement the emerging Industry 4.0 standards; many organisations lack the integration layer and governance to make disparate systems interoperate; and the legal, cybersecurity and commercial questions raised by cross‑firm data exchange remain live. Gaia‑X and Platform Industrie 4.0 explicitly emphasise trust, legal frameworks and cybersecurity as prerequisites for scale, while Catena‑X’s governance model and Tractus‑X KITS are designed to lower the operational friction of multi‑party data sharing. Open‑source toolkits and reference architectures can shorten the road, but they do not absolve firms of organisational work: agreeing semantics, establishing who “owns” a data element, and designing decision rights for shared data are fundamentally governance problems.</w:t>
      </w:r>
      <w:r/>
    </w:p>
    <w:p>
      <w:r/>
      <w:r>
        <w:t>Where does this leave enterprise architects? First, they must expand the remit of EA beyond application and infrastructure into operational technology and shop‑floor concerns. That means new competencies — fluency with digital‑twin models, data‑space connectors, and asset‑administration shells — and new notations or extensions to existing modelling languages so that OT artefacts can be represented explicitly. Second, architects must place interoperability, data sovereignty and trust at the centre of their roadmaps: adopt or reference Gaia‑X and Catena‑X artefacts where appropriate, and use open‑source KITS to accelerate prototyping while guarding against vendor lock‑in. Third, EA functions must be embedded in business change: sponsorship at the COO or supply‑chain level, as in the FMCG case, converts architecture from a compliance checkbox into a capability that creates customer and sustainability outcomes.</w:t>
      </w:r>
      <w:r/>
    </w:p>
    <w:p>
      <w:r/>
      <w:r>
        <w:t>Ultimately, Industry 4.0 offers enterprise architecture a route to strategic relevance. The movement’s emphasis on standards, data spaces and cross‑firm collaboration exposes the limitations of a siloed, IT‑only EA. According to the Sustainable Supply Chain Framework and the sector X‑initiatives, the prize is not merely lowered operational cost but greater supply‑chain resilience, measurable sustainability outcomes across the triple bottom line, and new customer‑facing business models. Realising that prize will demand that architects combine technical rigour with governance design, industrial domain knowledge and the diplomatic skills to convene suppliers, integrators and policymakers around interoperable, trustworthy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https://eapj.org/enterprise-architecture-and-industry-4-0-opportunities-challenges/?utm_source=rss&amp;utm_medium=rss&amp;utm_campaign=enterprise-architecture-and-industry-4-0-opportunities-challenges</w:t>
        </w:r>
      </w:hyperlink>
      <w:r>
        <w:t xml:space="preserve"> - Please view link - unable to able to access data</w:t>
      </w:r>
      <w:r/>
    </w:p>
    <w:p>
      <w:pPr>
        <w:pStyle w:val="ListNumber"/>
        <w:spacing w:line="240" w:lineRule="auto"/>
        <w:ind w:left="720"/>
      </w:pPr>
      <w:r/>
      <w:hyperlink r:id="rId11">
        <w:r>
          <w:rPr>
            <w:color w:val="0000EE"/>
            <w:u w:val="single"/>
          </w:rPr>
          <w:t>https://www.plattform-i40.de/IP/Navigation/EN/Home/home.html</w:t>
        </w:r>
      </w:hyperlink>
      <w:r>
        <w:t xml:space="preserve"> - Plattform Industrie 4.0 is Germany’s national initiative shaping the digital transformation of manufacturing. The site explains the platform’s mission to develop technical foundations, recommendations and working group results that support companies and policymakers. It highlights Manufacturing‑X and DataSpace Industrie 4.0 as projects to digitalise supply chains, and describes international cooperation, publications and events. The platform brings together industry, government, academia and unions to foster standardisation, trust, cybersecurity and workforce readiness. Practical guidance, case studies and policy papers aim to help SMEs adopt Industrie 4.0 concepts and technologies while balancing competitiveness, legal frameworks and data sovereignty across diverse industrial sectors globally.</w:t>
      </w:r>
      <w:r/>
    </w:p>
    <w:p>
      <w:pPr>
        <w:pStyle w:val="ListNumber"/>
        <w:spacing w:line="240" w:lineRule="auto"/>
        <w:ind w:left="720"/>
      </w:pPr>
      <w:r/>
      <w:hyperlink r:id="rId12">
        <w:r>
          <w:rPr>
            <w:color w:val="0000EE"/>
            <w:u w:val="single"/>
          </w:rPr>
          <w:t>https://catena-x.net/</w:t>
        </w:r>
      </w:hyperlink>
      <w:r>
        <w:t xml:space="preserve"> - Catena‑X is a collaborative data ecosystem for the global automotive industry that promotes interoperable standards, data sovereignty and multi‑tier information sharing. Its website outlines business areas such as resilient supply chains, trusted sustainability, quality management and master‑data management, and describes an association governance model for industry stakeholders. Catena‑X provides open KITS, reference architectures and onboarding resources to enable OEMs, suppliers and solution providers to exchange standardised data securely. The site highlights success stories, member commitments and programmes designed to improve transparency, reduce costs, support decarbonisation and accelerate supplier readiness through cooperative, open‑source approaches and foster innovation across value chains globally.</w:t>
      </w:r>
      <w:r/>
    </w:p>
    <w:p>
      <w:pPr>
        <w:pStyle w:val="ListNumber"/>
        <w:spacing w:line="240" w:lineRule="auto"/>
        <w:ind w:left="720"/>
      </w:pPr>
      <w:r/>
      <w:hyperlink r:id="rId13">
        <w:r>
          <w:rPr>
            <w:color w:val="0000EE"/>
            <w:u w:val="single"/>
          </w:rPr>
          <w:t>https://docs.gaia-x.eu/technical-committee/architecture-document/25.05/</w:t>
        </w:r>
      </w:hyperlink>
      <w:r>
        <w:t xml:space="preserve"> - The Gaia‑X Architecture Document (25.05 release) sets out a reference architecture for trusted data infrastructure and data spaces. The web publication covers Gaia‑X context, trust framework architecture, technical compatibility specifications and implementation guidance for federated data ecosystems. It emphasises decentralised service delivery, interoperability, data sovereignty and common technical standards to enable secure data exchange among organisations. The document includes appendices, trust indexes and a changelog, and is intended for implementers, architects and policy makers seeking to align technical designs with Gaia‑X principles for trusted, scalable and interoperable European data infrastructures. It supports harmonised approaches across sectors and fosters international collaboration.</w:t>
      </w:r>
      <w:r/>
    </w:p>
    <w:p>
      <w:pPr>
        <w:pStyle w:val="ListNumber"/>
        <w:spacing w:line="240" w:lineRule="auto"/>
        <w:ind w:left="720"/>
      </w:pPr>
      <w:r/>
      <w:hyperlink r:id="rId14">
        <w:r>
          <w:rPr>
            <w:color w:val="0000EE"/>
            <w:u w:val="single"/>
          </w:rPr>
          <w:t>https://www.digitaltwinconsortium.org/</w:t>
        </w:r>
      </w:hyperlink>
      <w:r>
        <w:t xml:space="preserve"> - The Digital Twin Consortium is an industry body that develops standards, best practices and reference architectures for digital twin technologies. Its website details membership, working groups, use cases and resources that aim to accelerate adoption across sectors by promoting interoperability and common vocabularies. The consortium brings together academia, vendors and end users to define guidance on modelling, data exchange, security and governance of digital twins. It hosts whitepapers, testbeds and community efforts to reduce fragmentation and to support implementers in creating interoperable digital twin solutions that span IT and operational technology domains and encourage open standards and vendor neutrality internationally.</w:t>
      </w:r>
      <w:r/>
    </w:p>
    <w:p>
      <w:pPr>
        <w:pStyle w:val="ListNumber"/>
        <w:spacing w:line="240" w:lineRule="auto"/>
        <w:ind w:left="720"/>
      </w:pPr>
      <w:r/>
      <w:hyperlink r:id="rId15">
        <w:r>
          <w:rPr>
            <w:color w:val="0000EE"/>
            <w:u w:val="single"/>
          </w:rPr>
          <w:t>https://eclipse-tractusx.github.io/docs-kits/kits/traceability-kit/adoption-view/</w:t>
        </w:r>
      </w:hyperlink>
      <w:r>
        <w:t xml:space="preserve"> - The Traceability KIT page from Eclipse Tractus‑X describes business and adoption views for standardised traceability across automotive supply chains. It explains the KIT’s vision, mission, benefits and customer journey to enable part and material tracing while preserving data sovereignty. The page outlines dependencies on core KITS such as the Industry Core and Data Space Connector, provides examples, videos and licensing information, and emphasises interoperability with Catena‑X standards. It is aimed at developers, OEMs and suppliers seeking to implement traceability applications that support quality investigations, faster recalls, and compliance with regulatory and sustainability requirements while enabling scalable, open‑source implementation patterns globally.</w:t>
      </w:r>
      <w:r/>
    </w:p>
    <w:p>
      <w:pPr>
        <w:pStyle w:val="ListNumber"/>
        <w:spacing w:line="240" w:lineRule="auto"/>
        <w:ind w:left="720"/>
      </w:pPr>
      <w:r/>
      <w:hyperlink r:id="rId16">
        <w:r>
          <w:rPr>
            <w:color w:val="0000EE"/>
            <w:u w:val="single"/>
          </w:rPr>
          <w:t>https://github.com/mitsf09/sscf/wiki</w:t>
        </w:r>
      </w:hyperlink>
      <w:r>
        <w:t xml:space="preserve"> - The Sustainable Supply Chain Framework (S2CF) GitHub wiki documents an open‑source collaboration between Platform Industrie 4.0 and the MIT Alumni Environment, Energy and Sustainability Network. The repository outlines the framework’s aims to model sustainability across industry, enterprise and supply‑chain levels, integrating use cases, reference architectures and data space concepts. It references academic work on sustainable supply chains, provides architectural artefacts, and highlights the triple bottom line perspective covering environmental, social and economic dimensions. The wiki is intended for contributors to develop ArchiMate, BPMN and UML blueprints that bridge industrial automation and enterprise architecture for sustainability and encourage community contributions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apj.org/enterprise-architecture-and-industry-4-0-opportunities-challenges/?utm_source=rss&amp;utm_medium=rss&amp;utm_campaign=enterprise-architecture-and-industry-4-0-opportunities-challenges" TargetMode="External"/><Relationship Id="rId11" Type="http://schemas.openxmlformats.org/officeDocument/2006/relationships/hyperlink" Target="https://www.plattform-i40.de/IP/Navigation/EN/Home/home.html" TargetMode="External"/><Relationship Id="rId12" Type="http://schemas.openxmlformats.org/officeDocument/2006/relationships/hyperlink" Target="https://catena-x.net/" TargetMode="External"/><Relationship Id="rId13" Type="http://schemas.openxmlformats.org/officeDocument/2006/relationships/hyperlink" Target="https://docs.gaia-x.eu/technical-committee/architecture-document/25.05/" TargetMode="External"/><Relationship Id="rId14" Type="http://schemas.openxmlformats.org/officeDocument/2006/relationships/hyperlink" Target="https://www.digitaltwinconsortium.org/" TargetMode="External"/><Relationship Id="rId15" Type="http://schemas.openxmlformats.org/officeDocument/2006/relationships/hyperlink" Target="https://eclipse-tractusx.github.io/docs-kits/kits/traceability-kit/adoption-view/" TargetMode="External"/><Relationship Id="rId16" Type="http://schemas.openxmlformats.org/officeDocument/2006/relationships/hyperlink" Target="https://github.com/mitsf09/sscf/wi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