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EDI’s quiet choreography keeps global trade moving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Electronic Data Interchange quietly does the heavy lifting of modern commerce: turning the messy, idiosyncratic data inside company systems into structured, auditable business transactions that flow between trading partners. What reads as a single “order” or “invoice” to a human is the end result of several precise technical and governance steps — capture, mapping, translation, transport, validation and integration — each governed by agreed standards and operational practices.</w:t>
      </w:r>
      <w:r/>
    </w:p>
    <w:p>
      <w:r/>
      <w:r>
        <w:t>Capturing the business event Everything begins inside a company’s own applications — an ERP, a warehouse management system, accounting software. As EDI Academy explains, when a buyer places an order the information is recorded in a company-specific format; that raw record is not yet suitable for external exchange because every organisation keeps and labels data differently. The first practical challenge is recognising which internal fields correspond to the elements a trading partner expects.</w:t>
      </w:r>
      <w:r/>
    </w:p>
    <w:p>
      <w:r/>
      <w:r>
        <w:t>Mapping and translation: the lingua franca of trade To make data interoperable, firms map their internal data fields onto standard EDI structures. This mapping step is essential: it translates proprietary field names such as “Customer ID” or “Product Code” into segments and elements defined by a standard. EDI translators then render the mapped content into a specific transaction set — for example an X12 850 Purchase Order or an EDIFACT ORDERS message — so that sender and receiver “speak” the same language.</w:t>
      </w:r>
      <w:r/>
    </w:p>
    <w:p>
      <w:r/>
      <w:r>
        <w:t>Standards bodies and identifiers matter. In North America, X12 defines the transaction sets and code lists companies use; X12’s consensus-based maintenance keeps those transaction sets aligned with industry needs. Globally, UN/EDIFACT — governed through UN/CEFACT — provides syntax rules and message directories for cross-border trade. GS1-based message families (such as EANCOM or GS1 XML) build on those principles and add identification keys — GTIN for products, GLN for parties, SSCC for logistic units — that improve data quality and traceability. These standards are not academic: industry groups and standards bodies publish implementation guides and periodic updates that shape how mapping must be done in practice.</w:t>
      </w:r>
      <w:r/>
    </w:p>
    <w:p>
      <w:r/>
      <w:r>
        <w:t>Transport: delivering the file securely and reliably Once an EDI file is created it must be delivered. Common options include secure file transfer (SFTP/FTPS), private value‑added networks (VANs) that broker and manage traffic, or internet-based protocols such as AS2. RFC 4130 formalises AS2: it uses S/MIME over HTTP(S), relies on X.509 certificates for authentication, and supports Message Disposition Notifications (MDNs) to provide non-repudiable evidence of receipt. The choice of transport depends on security requirements, the need for legal audit trails, trading‑partner agreements and legacy infrastructure.</w:t>
      </w:r>
      <w:r/>
    </w:p>
    <w:p>
      <w:r/>
      <w:r>
        <w:t>Validation, processing and business logic On receipt the document is validated against the chosen standard and the recipient’s implementation rules. Validation checks structure, mandatory elements and code lists; a failure at this stage requires manual intervention or automated exception handling. Successful files are translated back into the receiver’s internal format and handed to the relevant business application where they trigger actions — updating inventory, generating fulfilment instructions, creating invoices, or initiating payment workflows. As IBM notes, when done well this direct application-to-application flow reduces re-keying, cuts errors and accelerates order-to-cash cycles.</w:t>
      </w:r>
      <w:r/>
    </w:p>
    <w:p>
      <w:r/>
      <w:r>
        <w:t>Mapping complexity and governance Mapping is deceptively intricate. As implementation guides and integration vendors point out, differences in data granularity, optional elements, and local code lists mean that no two trading‑partner mappings are identical. Best practice calls for detailed mapping specifications, iterative testing, and robust change control. EDI translation tools and specialist integrators perform the heavy lifting, but governance — who owns the mapping, how changes are authorised, and how exceptions are resolved — determines whether automation is resilient or fragile.</w:t>
      </w:r>
      <w:r/>
    </w:p>
    <w:p>
      <w:r/>
      <w:r>
        <w:t>Why organisations persist with EDI The business case for EDI has endured. Industry commentary and standards bodies highlight faster transaction processing, lower operational costs, improved accuracy, and stronger supply‑chain traceability as primary benefits. GS1 stresses that standardised messages and identifiers foster interoperability and better inventory visibility; IBM emphasises that automated EDI supports reliable B2B processes across multiple document types and industries. For many sectors — retail, logistics, manufacturing, healthcare — those efficiencies are a prerequisite for competing at scale.</w:t>
      </w:r>
      <w:r/>
    </w:p>
    <w:p>
      <w:r/>
      <w:r>
        <w:t>Practical considerations and modern realities Organisations adopting or maintaining EDI must weigh practical trade-offs. Older VAN arrangements still provide value for multi‑partner message routing and managed services, while AS2 and secure file transfer offer more direct, internet-based routes with comparable security properties. Mapping logic needs maintenance as product catalogues, regulatory requirements and business rules change; standards bodies publish regular updates (X12 annually, UN/CEFACT periodically) that can affect implementations. Security practices — certificate management for AS2, encryption policies, and audit logging — are operational imperatives, not optional extras.</w:t>
      </w:r>
      <w:r/>
    </w:p>
    <w:p>
      <w:r/>
      <w:r>
        <w:t>Training and the human factor Technical standards and automation do not eliminate the need for skilled people. Successful EDI programmes combine tooling with subject‑matter expertise: analysts who understand mapping and business process, administrators who manage transports and certificates, and governance roles that mediate partner changes. Providers and training organisations promote certification paths aimed at closing that skills gap; organisations should treat training as part of their operational investment.</w:t>
      </w:r>
      <w:r/>
    </w:p>
    <w:p>
      <w:r/>
      <w:r>
        <w:t>Conclusion EDI is less about a single technology and more about a disciplined chain of practices — standards, mapping, secure transport, validation and integration — that convert disparate internal records into reliable, auditable transactions between trading partners. Standards bodies and industry groups supply the syntax and identifiers that make interoperability possible; protocol specifications and vendor tools supply the mechanisms that make it secure and manageable. Together, those elements let businesses replace paper and manual work with automated processes that speed commerce, reduce error and improve traceability — provided the mapping, governance and operational controls are kept up to date. EDI remains the quiet backbone of global supply chains because, in a world of many systems and many partners, agreed structure and trusted delivery still matter.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https://ediacademy.com/blog/how-edi-works-3/?utm_source=rss&amp;utm_medium=rss&amp;utm_campaign=how-edi-works-3</w:t>
        </w:r>
      </w:hyperlink>
      <w:r>
        <w:t xml:space="preserve"> - Please view link - unable to able to access data</w:t>
      </w:r>
      <w:r/>
    </w:p>
    <w:p>
      <w:pPr>
        <w:pStyle w:val="ListNumber"/>
        <w:spacing w:line="240" w:lineRule="auto"/>
        <w:ind w:left="720"/>
      </w:pPr>
      <w:r/>
      <w:hyperlink r:id="rId11">
        <w:r>
          <w:rPr>
            <w:color w:val="0000EE"/>
            <w:u w:val="single"/>
          </w:rPr>
          <w:t>https://www.ibm.com/think/topics/edi-electronic-data-interchange</w:t>
        </w:r>
      </w:hyperlink>
      <w:r>
        <w:t xml:space="preserve"> - IBM explains Electronic Data Interchange (EDI) as the computer-to-computer exchange of standardised business documents, replacing paper-based processes such as purchase orders and invoices. The article describes how EDI moves data directly between applications, using agreed standards to specify element order and format. It outlines key business benefits including time and cost savings, improved accuracy through rigid standardisation, enhanced traceability and reporting, and smoother integration with enterprise systems. IBM emphasises that EDI supports many document types across industries and that automation enables faster, more reliable B2B processes, making EDI essential for firms seeking operational efficiency and worldwide adoption.</w:t>
      </w:r>
      <w:r/>
    </w:p>
    <w:p>
      <w:pPr>
        <w:pStyle w:val="ListNumber"/>
        <w:spacing w:line="240" w:lineRule="auto"/>
        <w:ind w:left="720"/>
      </w:pPr>
      <w:r/>
      <w:hyperlink r:id="rId12">
        <w:r>
          <w:rPr>
            <w:color w:val="0000EE"/>
            <w:u w:val="single"/>
          </w:rPr>
          <w:t>https://www.gs1uk.org/knowledge-hub/standards/what-is-edi-electronic-data-interchange</w:t>
        </w:r>
      </w:hyperlink>
      <w:r>
        <w:t xml:space="preserve"> - GS1 UK defines EDI as an automated method for exchanging business documents, such as purchase orders, invoices and shipping notices, between disparate computer systems. The page explains that EDI removes manual paper processes and reduces re-keying errors by using common standards like GS1 EANCOM or GS1 XML built on UN/EDIFACT principles. GS1 outlines benefits including greater accuracy, faster transactions, cost savings, improved traceability and compliance, and better inventory visibility. The article highlights the role of GS1 identification keys (GTIN, GLN, SSCC) in improving data quality, and emphasises that standardised messages foster interoperability across supply chains globally and efficiently.</w:t>
      </w:r>
      <w:r/>
    </w:p>
    <w:p>
      <w:pPr>
        <w:pStyle w:val="ListNumber"/>
        <w:spacing w:line="240" w:lineRule="auto"/>
        <w:ind w:left="720"/>
      </w:pPr>
      <w:r/>
      <w:hyperlink r:id="rId13">
        <w:r>
          <w:rPr>
            <w:color w:val="0000EE"/>
            <w:u w:val="single"/>
          </w:rPr>
          <w:t>https://x12.org/</w:t>
        </w:r>
      </w:hyperlink>
      <w:r>
        <w:t xml:space="preserve"> - X12 is the ANSI-accredited standards body that develops and maintains the X12 EDI standards used primarily in North America. Their site explains how X12 defines transaction sets for many business processes — for example purchase orders, invoices and shipment notices — and provides implementation guides, code lists and technical reports. X12 emphasises consensus-based development and annual releases to keep standards current. The resource details how X12 transaction sets enable interoperable, syntax-neutral exchanges across industries including healthcare, finance and supply chain, and highlights tools such as the online viewer and metadata initiatives that support standard adoption and governance.</w:t>
      </w:r>
      <w:r/>
    </w:p>
    <w:p>
      <w:pPr>
        <w:pStyle w:val="ListNumber"/>
        <w:spacing w:line="240" w:lineRule="auto"/>
        <w:ind w:left="720"/>
      </w:pPr>
      <w:r/>
      <w:hyperlink r:id="rId14">
        <w:r>
          <w:rPr>
            <w:color w:val="0000EE"/>
            <w:u w:val="single"/>
          </w:rPr>
          <w:t>https://unece.org/trade/documents/2023/10/executive-guide-unedifact</w:t>
        </w:r>
      </w:hyperlink>
      <w:r>
        <w:t xml:space="preserve"> - The United Nations Economic Commission for Europe (UNECE) explains UN/EDIFACT as the global EDI standard developed and maintained by UN/CEFACT, providing syntax rules, message directories and implementation guidance for electronic trade documents. Their executive guide summarises the history, structure and usage of EDIFACT messages for invoices, orders, customs declarations and logistics. It notes the standard’s long-standing international adoption, periodic directory updates, and the role of UN/CEFACT in maintenance and governance. The guide clarifies how UN/EDIFACT enables cross-border interoperability, reduces manual intervention, and supports automated processing across multi-industry, multi-country supply chains to improve transparency and efficiency worldwide trade.</w:t>
      </w:r>
      <w:r/>
    </w:p>
    <w:p>
      <w:pPr>
        <w:pStyle w:val="ListNumber"/>
        <w:spacing w:line="240" w:lineRule="auto"/>
        <w:ind w:left="720"/>
      </w:pPr>
      <w:r/>
      <w:hyperlink r:id="rId15">
        <w:r>
          <w:rPr>
            <w:color w:val="0000EE"/>
            <w:u w:val="single"/>
          </w:rPr>
          <w:t>https://datatracker.ietf.org/doc/html/rfc4130</w:t>
        </w:r>
      </w:hyperlink>
      <w:r>
        <w:t xml:space="preserve"> - RFC 4130 formally specifies Applicability Statement 2 (AS2), a protocol for secure, non-repudiable transport of business data over HTTP(S) using S/MIME. The RFC details message structure, headers, signing and encryption options, and Message Disposition Notifications (MDNs) used to confirm receipt and create audit trails. It describes synchronous and asynchronous MDNs, retry behaviours, and required use of X.509 certificates for trading partner authentication. AS2 provides integrity, confidentiality and non-repudiation for EDI exchanges and has been widely adopted in retail and supply chain sectors as a reliable internet-based alternative to older VAN-based delivery methods that support guaranteed delivery and legal evidentiary proof.</w:t>
      </w:r>
      <w:r/>
    </w:p>
    <w:p>
      <w:pPr>
        <w:pStyle w:val="ListNumber"/>
        <w:spacing w:line="240" w:lineRule="auto"/>
        <w:ind w:left="720"/>
      </w:pPr>
      <w:r/>
      <w:hyperlink r:id="rId16">
        <w:r>
          <w:rPr>
            <w:color w:val="0000EE"/>
            <w:u w:val="single"/>
          </w:rPr>
          <w:t>https://www.seeburger.com/resources/good-to-know/what-is-an-edi-mapping</w:t>
        </w:r>
      </w:hyperlink>
      <w:r>
        <w:t xml:space="preserve"> - SEEBURGER explains EDI mapping as the process of translating between a company’s internal data formats and standard EDI structures so trading partners can exchange information reliably. The page outlines steps including data analysis, mapping specification, implementation using EDI translators, testing and deployment. It describes element, structure and code mapping, handling differences in data granularity, and addressing code lists and data type mismatches. SEEBURGER emphasises that mapping preserves data integrity, reduces manual re-entry, and underpins automated workflows; it also notes EDI translation tools perform conversion between proprietary formats and standards like X12 or EDIFACT to enable seamless integration across business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iacademy.com/blog/how-edi-works-3/?utm_source=rss&amp;utm_medium=rss&amp;utm_campaign=how-edi-works-3" TargetMode="External"/><Relationship Id="rId11" Type="http://schemas.openxmlformats.org/officeDocument/2006/relationships/hyperlink" Target="https://www.ibm.com/think/topics/edi-electronic-data-interchange" TargetMode="External"/><Relationship Id="rId12" Type="http://schemas.openxmlformats.org/officeDocument/2006/relationships/hyperlink" Target="https://www.gs1uk.org/knowledge-hub/standards/what-is-edi-electronic-data-interchange" TargetMode="External"/><Relationship Id="rId13" Type="http://schemas.openxmlformats.org/officeDocument/2006/relationships/hyperlink" Target="https://x12.org/" TargetMode="External"/><Relationship Id="rId14" Type="http://schemas.openxmlformats.org/officeDocument/2006/relationships/hyperlink" Target="https://unece.org/trade/documents/2023/10/executive-guide-unedifact" TargetMode="External"/><Relationship Id="rId15" Type="http://schemas.openxmlformats.org/officeDocument/2006/relationships/hyperlink" Target="https://datatracker.ietf.org/doc/html/rfc4130" TargetMode="External"/><Relationship Id="rId16" Type="http://schemas.openxmlformats.org/officeDocument/2006/relationships/hyperlink" Target="https://www.seeburger.com/resources/good-to-know/what-is-an-edi-mapp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