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Food industry's hidden emissions expose need for supply chain overhaul at Food Tek Pack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Food Tek Pack 2025, held alongside the Intrapack exhibition, Ishita Bhatnagar, co‑founder of Zissions, delivered a keynote that reframed where the food sector’s carbon burden really sits and what companies must do now to respond to tightening regulation and market pressures.</w:t>
      </w:r>
      <w:r/>
    </w:p>
    <w:p>
      <w:r/>
      <w:r>
        <w:t>Her opening provocation , a quiz asking the audience to estimate how much of the carbon footprint of a 10‑rupee packet of chips comes from logistics, packaging and farm‑level activity , set the tone. When the answer “80 to 95%” appeared on screen, the reaction was audible. “For most food brands, less than 10% of the carbon cost is actually spent inside the factory,” Bhatnagar said. “More than 80% lies in the farm, on the truck, or in the wrapper.” That, she argued, implies corporate sustainability programmes that focus only on factory emissions are missing the “hidden 90%”.</w:t>
      </w:r>
      <w:r/>
    </w:p>
    <w:p>
      <w:r/>
      <w:r>
        <w:t>Bhatnagar pressed companies to treat their supply chains as systems engineering problems rather than a string of compliance checkboxes. “You have been swiping it every time you send a plastic packet. Now, the bill is due,” she said, paraphrasing the effect of India’s revised plastic rules and recent EPR amendments. According to the announcement around those regulatory changes, the immediate requirement to incorporate 30% recycled content , rising under staged targets for rigid packaging in later years , should be read as both an obligation and a strategic opening. Industry commentary and regulatory summaries note the 30% mandate for 2025–26 and propose a pathway to higher targets through 2028–29, alongside digital traceability measures intended to strengthen recycling claims.</w:t>
      </w:r>
      <w:r/>
    </w:p>
    <w:p>
      <w:r/>
      <w:r>
        <w:t>Crucially, Bhatnagar distinguished carbon‑positive supply chains from simple offsetting: “a balance equation” in engineering terms where recycling and sequestration must exceed emissions. That emphasis echoes broader evidence that the largest greenhouse‑gas sources in food systems are upstream. Government and agency reports show primary production and farm activities account for a substantial share of food‑system emissions: U.S. Environmental Protection Agency analysis, for example, highlights that primary production is a leading source of agricultural greenhouse gases and that transport typically contributes a noticeably smaller share , often single‑digit percentages , of cradle‑to‑consumer food emissions. Those findings reinforce Bhatnagar’s contention that logistics, packaging and farm practices are the hotspots to tackle.</w:t>
      </w:r>
      <w:r/>
    </w:p>
    <w:p>
      <w:r/>
      <w:r>
        <w:t>She outlined three immediate levers. Logistics, she said, is “the most convenient emitter” , high impact, under‑measured, yet tractable. Minor route and load optimisations can cut both carbon and costs, she argued, pointing to modelling work Zissions has applied to large logistics customers. Packaging, the second hotspot, is where regulatory pressure and engineering opportunity meet. Bhatnagar advocated mono‑materials , “like Lego bricks” , over complex multi‑layer laminates, because they simplify recycling, reduce EPR fees and accelerate circular‑economy outcomes. That technical shift aligns with the regulatory direction: the 2025 rule changes and industry guidance increasingly require digital identifiers and traceability to substantiate recycled content claims, and set a framework of rising targets and penalties designed to move the market toward reuse and verified recycling.</w:t>
      </w:r>
      <w:r/>
    </w:p>
    <w:p>
      <w:r/>
      <w:r>
        <w:t>Yet recycling cannot scale without collection. “You cannot ignore the informal sector,” Bhatnagar told the audience, urging conversion of waste‑picker networks into formal, traceable value chains. She highlighted digital aggregation , registering informal collectors via apps, tracking material flows and marking packaging with QR codes , as a practical route. That approach reflects recent government initiatives to verify material recovery organisations and enable companies to buy credited recycling outcomes, and mirrors amendments that introduce digital labelling and traceability for batteries and other waste streams to reduce fraud and improve accountability.</w:t>
      </w:r>
      <w:r/>
    </w:p>
    <w:p>
      <w:r/>
      <w:r>
        <w:t>To move from diagnosis to action, Bhatnagar presented Zissions’ work as examples of how engineering and data can convert compliance into revenue. Three case studies illustrated the point:</w:t>
      </w:r>
      <w:r/>
      <w:r/>
    </w:p>
    <w:p>
      <w:pPr>
        <w:pStyle w:val="ListBullet"/>
        <w:spacing w:line="240" w:lineRule="auto"/>
        <w:ind w:left="720"/>
      </w:pPr>
      <w:r/>
      <w:r>
        <w:t>A digital twin for a recycler that enabled real‑time energy and mass‑balance tracking, allowing recycled polypropylene to be certified and sold at a premium. “We turned compliance into revenue,” she said.</w:t>
      </w:r>
      <w:r/>
    </w:p>
    <w:p>
      <w:pPr>
        <w:pStyle w:val="ListBullet"/>
        <w:spacing w:line="240" w:lineRule="auto"/>
        <w:ind w:left="720"/>
      </w:pPr>
      <w:r/>
      <w:r>
        <w:t>Logistics optimisation using computational models adapted from heavy industry to shave kilometres and inefficiency from routes; clients included large e‑commerce and industrial logistics firms. The message: every kilometre saved reduces carbon , and operating expense.</w:t>
      </w:r>
      <w:r/>
    </w:p>
    <w:p>
      <w:pPr>
        <w:pStyle w:val="ListBullet"/>
        <w:spacing w:line="240" w:lineRule="auto"/>
        <w:ind w:left="720"/>
      </w:pPr>
      <w:r/>
      <w:r>
        <w:t>Simulation‑based material optimisation using finite‑element analysis to stress‑test packaging changes in silico, enabling firms to reduce plastic content without market failures. “We want the product to fail in software so it doesn’t fail in the market,” she said.</w:t>
      </w:r>
      <w:r/>
      <w:r/>
    </w:p>
    <w:p>
      <w:r/>
      <w:r>
        <w:t>Bhatnagar also signposted opportunities beyond packaging and transport. Upstream interventions , solar irrigation pumps, precision fertiliser use , and downstream investments in cold‑chain infrastructure could slash losses and create tradable carbon reductions, she argued. That point is consistent with international analyses showing primary production and food loss are major sources of agricultural emissions and waste‑related methane and nitrous oxide.</w:t>
      </w:r>
      <w:r/>
    </w:p>
    <w:p>
      <w:r/>
      <w:r>
        <w:t>Her closing admonition was procedural as well as strategic: “You can do nothing if you do not measure your footprint.” With EPR reporting and digital traceability becoming both a compliance requirement and a market differentiator, Bhatnagar urged industry leaders to adopt digital models immediately. Regulatory summaries and industry guides indicate governments are tightening both content mandates and verification mechanisms, from QR codes and barcodes for battery and packaging labelling to broader EPR performance linkages , a policy environment that makes rigorous measurement a precondition for both legal compliance and commercial advantage.</w:t>
      </w:r>
      <w:r/>
    </w:p>
    <w:p>
      <w:r/>
      <w:r>
        <w:t>Taken together, the messages from Food Tek Pack 2025 amount to a simple rerouting of corporate attention: real climate gains in food require moving decisively beyond factory walls into fields, trucks and wrappers, pairing regulatory response with systems‑level engineering, verified circularity and investment in the infrastructure that turns waste into value.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https://thepackman.in/when-less-than-10-is-inside-the-factory-rethinking-foods-carbon-reality/?utm_source=rss&amp;utm_medium=rss&amp;utm_campaign=when-less-than-10-is-inside-the-factory-rethinking-foods-carbon-reality</w:t>
        </w:r>
      </w:hyperlink>
      <w:r>
        <w:t xml:space="preserve"> - Please view link - unable to able to access data</w:t>
      </w:r>
      <w:r/>
    </w:p>
    <w:p>
      <w:pPr>
        <w:pStyle w:val="ListNumber"/>
        <w:spacing w:line="240" w:lineRule="auto"/>
        <w:ind w:left="720"/>
      </w:pPr>
      <w:r/>
      <w:hyperlink r:id="rId11">
        <w:r>
          <w:rPr>
            <w:color w:val="0000EE"/>
            <w:u w:val="single"/>
          </w:rPr>
          <w:t>https://www.epa.gov/system/files/documents/2021-11/from-farm-to-kitchen-the-environmental-impacts-of-u.s.-food-waste_508-tagged.pdf?os=rokuzoazxzmsqedfgxew&amp;ref=app</w:t>
        </w:r>
      </w:hyperlink>
      <w:r>
        <w:t xml:space="preserve"> - This report by the U.S. Environmental Protection Agency examines the environmental impacts of food waste in the United States. It highlights that primary production releases approximately 4.72 kg CO2e per person per day and is responsible for 39% of U.S. methane emissions and 80% of U.S. nitrous oxide emissions. The report also notes that transportation contributes a relatively small share of food system greenhouse gas emissions, representing from 7 to 11 percent of U.S. cradle-to-consumer food supply chain emissions.</w:t>
      </w:r>
      <w:r/>
    </w:p>
    <w:p>
      <w:pPr>
        <w:pStyle w:val="ListNumber"/>
        <w:spacing w:line="240" w:lineRule="auto"/>
        <w:ind w:left="720"/>
      </w:pPr>
      <w:r/>
      <w:hyperlink r:id="rId12">
        <w:r>
          <w:rPr>
            <w:color w:val="0000EE"/>
            <w:u w:val="single"/>
          </w:rPr>
          <w:t>https://www.jotamachinery.com/academy/india-plastic-waste-rules-2025/</w:t>
        </w:r>
      </w:hyperlink>
      <w:r>
        <w:t xml:space="preserve"> - This article discusses India's 2025 amendments to the Plastic Waste Management Rules, focusing on the integration of digital identifiers to ensure traceability in recycling claims. It also highlights the mandatory use of recycled content in packaging, with targets set to increase from 30% in 2025–26 to 60% by 2028–29 for rigid packaging. The article emphasizes the shift towards a reuse economy and the introduction of penalties and performance linkages to encourage compliance.</w:t>
      </w:r>
      <w:r/>
    </w:p>
    <w:p>
      <w:pPr>
        <w:pStyle w:val="ListNumber"/>
        <w:spacing w:line="240" w:lineRule="auto"/>
        <w:ind w:left="720"/>
      </w:pPr>
      <w:r/>
      <w:hyperlink r:id="rId13">
        <w:r>
          <w:rPr>
            <w:color w:val="0000EE"/>
            <w:u w:val="single"/>
          </w:rPr>
          <w:t>https://www.scconline.com/blog/post/2025/07/04/hazardous-waste-management-rules-epr-amendment-2025/</w:t>
        </w:r>
      </w:hyperlink>
      <w:r>
        <w:t xml:space="preserve"> - This article provides an overview of the Hazardous and Other Wastes (Management and Transboundary Movement) Amendment Rules, 2025, notified by the Ministry of Environment, Forest and Climate Change in India. The amendment introduces provisions related to Extended Producer Responsibility (EPR) for scrap of non-ferrous metals, including aluminum, copper, and zinc and its alloys. It outlines the responsibilities of producers, manufacturers, recyclers, refurbishers, collection agents, and bulk consumers in managing non-ferrous metal waste.</w:t>
      </w:r>
      <w:r/>
    </w:p>
    <w:p>
      <w:pPr>
        <w:pStyle w:val="ListNumber"/>
        <w:spacing w:line="240" w:lineRule="auto"/>
        <w:ind w:left="720"/>
      </w:pPr>
      <w:r/>
      <w:hyperlink r:id="rId14">
        <w:r>
          <w:rPr>
            <w:color w:val="0000EE"/>
            <w:u w:val="single"/>
          </w:rPr>
          <w:t>https://www.foxmandal.in/india-revises-plastic-battery-labelling-mandates-impact-on-producers/</w:t>
        </w:r>
      </w:hyperlink>
      <w:r>
        <w:t xml:space="preserve"> - This article discusses the revisions to plastic and battery labelling mandates in India, focusing on the exemptions from displaying the Extended Producer Responsibility (EPR) registration number. The exemptions apply to packaging covered under Rule 26 of the Legal Metrology (Packaged Commodities) Rules, 2011, which includes fast food items packed by restaurants or hotels and commodities sold by weight or measure with net weight or measure equal to or less than 10g or 10ml.</w:t>
      </w:r>
      <w:r/>
    </w:p>
    <w:p>
      <w:pPr>
        <w:pStyle w:val="ListNumber"/>
        <w:spacing w:line="240" w:lineRule="auto"/>
        <w:ind w:left="720"/>
      </w:pPr>
      <w:r/>
      <w:hyperlink r:id="rId15">
        <w:r>
          <w:rPr>
            <w:color w:val="0000EE"/>
            <w:u w:val="single"/>
          </w:rPr>
          <w:t>https://www.india-briefing.com/news/extended-producer-responsibility-in-india-notes-for-foreign-manufacturers-40094.html/</w:t>
        </w:r>
      </w:hyperlink>
      <w:r>
        <w:t xml:space="preserve"> - This article provides insights into India's Extended Producer Responsibility (EPR) regulations, detailing the recycling targets for producers and the obligations for manufacturers and importers of various products, including batteries. It highlights the requirements for registration, collection, recycling, and reporting, and discusses the impact of these regulations on foreign manufacturers operating in India.</w:t>
      </w:r>
      <w:r/>
    </w:p>
    <w:p>
      <w:pPr>
        <w:pStyle w:val="ListNumber"/>
        <w:spacing w:line="240" w:lineRule="auto"/>
        <w:ind w:left="720"/>
      </w:pPr>
      <w:r/>
      <w:hyperlink r:id="rId16">
        <w:r>
          <w:rPr>
            <w:color w:val="0000EE"/>
            <w:u w:val="single"/>
          </w:rPr>
          <w:t>https://www.indianchemicalregulation.com/india-publishes-battery-waste-management-amendment-rules-2025-key-updates-and-compliance-requirements/</w:t>
        </w:r>
      </w:hyperlink>
      <w:r>
        <w:t xml:space="preserve"> - This article outlines the amendments to the Battery Waste Management Rules, 2025, introduced by the Ministry of Environment, Forest, and Climate Change in India. The amendments focus on digital labeling, packaging exemptions, and relaxed hazardous substance labeling requirements. Producers can now print barcodes or QR codes containing the EPR registration number on batteries, battery packs, or equipment packaging, reducing the labeling burden while ensuring compliance.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packman.in/when-less-than-10-is-inside-the-factory-rethinking-foods-carbon-reality/?utm_source=rss&amp;utm_medium=rss&amp;utm_campaign=when-less-than-10-is-inside-the-factory-rethinking-foods-carbon-reality" TargetMode="External"/><Relationship Id="rId11" Type="http://schemas.openxmlformats.org/officeDocument/2006/relationships/hyperlink" Target="https://www.epa.gov/system/files/documents/2021-11/from-farm-to-kitchen-the-environmental-impacts-of-u.s.-food-waste_508-tagged.pdf?os=rokuzoazxzmsqedfgxew&amp;ref=app" TargetMode="External"/><Relationship Id="rId12" Type="http://schemas.openxmlformats.org/officeDocument/2006/relationships/hyperlink" Target="https://www.jotamachinery.com/academy/india-plastic-waste-rules-2025/" TargetMode="External"/><Relationship Id="rId13" Type="http://schemas.openxmlformats.org/officeDocument/2006/relationships/hyperlink" Target="https://www.scconline.com/blog/post/2025/07/04/hazardous-waste-management-rules-epr-amendment-2025/" TargetMode="External"/><Relationship Id="rId14" Type="http://schemas.openxmlformats.org/officeDocument/2006/relationships/hyperlink" Target="https://www.foxmandal.in/india-revises-plastic-battery-labelling-mandates-impact-on-producers/" TargetMode="External"/><Relationship Id="rId15" Type="http://schemas.openxmlformats.org/officeDocument/2006/relationships/hyperlink" Target="https://www.india-briefing.com/news/extended-producer-responsibility-in-india-notes-for-foreign-manufacturers-40094.html/" TargetMode="External"/><Relationship Id="rId16" Type="http://schemas.openxmlformats.org/officeDocument/2006/relationships/hyperlink" Target="https://www.indianchemicalregulation.com/india-publishes-battery-waste-management-amendment-rules-2025-key-updates-and-compliance-require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