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Asia's 2026 economic divergence driven by AI, semiconductor shifts and domestic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Asia enters 2026, the region’s economic map is defined less by uniform momentum than by stark divergence: advanced semiconductor hubs riding an AI-driven upswing, India’s domestic engines revving despite external frictions, Southeast Asia carving specialised supply‑chain niches, and China simultaneously asserting export dominance while wrestling with a deepening domestic malaise.</w:t>
      </w:r>
      <w:r/>
    </w:p>
    <w:p>
      <w:r/>
      <w:r>
        <w:t>China’s paradox remains the defining story. The country continues to expand its presence in global goods markets, China Daily reports foreign trade hit a record 43.85 trillion yuan in 2024, with mechanical and electrical exports and technologically sophisticated products such as electric vehicles and industrial robots showing strong gains. That external resilience is reinforced by major state-led investments in AI infrastructure and a rapidly growing STEM workforce; industry estimates cited in the lead piece put state-backed AI investment above $70 billion in 2026 and forecast cloud AI revenue compounding at about 45% over six years.</w:t>
      </w:r>
      <w:r/>
    </w:p>
    <w:p>
      <w:r/>
      <w:r>
        <w:t>Yet powerful domestic headwinds persist. Household consumption is weak amid a prolonged housing adjustment: the International Monetary Fund projects demand for new housing in China will fall by roughly 50% over the next decade, a shift that would extend the property sector’s drag on growth. Recent corporate distress underlines that stress, AP News reported that developer China Vanke narrowly avoided default on a 2 billion yuan bond and sought delays on further repayments, while property investment and prices have slumped since 2021. Beijing’s recent policy signals, including a downplaying of direct consumption stimulus at the December Central Economic Work Conference and moves to “optimise” trade-in subsidies, suggest fiscal support for households may remain restrained. JP Morgan’s projection of around 4.3% GDP growth for 2026, cited in the lead, assumes limited direct consumer support.</w:t>
      </w:r>
      <w:r/>
    </w:p>
    <w:p>
      <w:r/>
      <w:r>
        <w:t>External frictions complicate the picture. Despite Western export controls on some technologies, Goldman Sachs has revised up its view of China’s external competitiveness, forecasting real export growth of 5–6% annually in coming years and noting an 8% export increase in 2025, while other jurisdictions have imposed retaliatory trade measures. The lead article flags anti‑dumping actions from the EU, Vietnam, Korea and India; conversely, China has itself moved to impose duties on certain EU pork imports, according to AP News, illustrating how trade tensions are now a two‑way phenomenon. For many regional economies, the result is a partial, uneven “decoupling”: supply chains diversify, but dependence on Chinese inputs remains substantial.</w:t>
      </w:r>
      <w:r/>
    </w:p>
    <w:p>
      <w:r/>
      <w:r>
        <w:t>Against this backdrop, Taiwan and South Korea have emerged as the main beneficiaries of the AI capex cycle. Semiconductor investment has been heavily concentrated in these economies, about 30% of global AI capital expenditure is estimated to flow to Taiwanese and Korean firms, boosting corporate earnings across much of Asia ex‑Japan. South Korea’s strength in memory chips and Taiwan’s dominance in advanced logic foundries, notably TSMC, underpin a sharp technology earnings upswing. But the gains are uneven: both economies remain vulnerable to semiconductor cyclicality, and China’s own push for semiconductor localisation, backed by large state funds, constitutes a credible longer‑term competitive risk.</w:t>
      </w:r>
      <w:r/>
    </w:p>
    <w:p>
      <w:r/>
      <w:r>
        <w:t>India’s trajectory is different and more domestically driven. The lead article notes that India faced strong export headwinds in 2025 after import tariffs raised effective rates, yet domestic conditions have improved: inflation has eased sharply, reported at 2%, a multi‑decade low, allowing monetary easing, while tax cuts and a pipeline of infrastructure projects are intended to lift productivity. JP Morgan’s projection of 7.5% GDP growth in 2026 and a reacceleration of corporate earnings to the mid‑teens reflects those tailwinds. Market indicators also show valuation appeal: relative price‑to‑earnings metrics for MSCI India versus the S&amp;P 500 are below long‑run averages, and active emerging market funds have low India positioning, which some strategists view as an attractive entry point.</w:t>
      </w:r>
      <w:r/>
    </w:p>
    <w:p>
      <w:r/>
      <w:r>
        <w:t>Southeast Asia is positioning itself as a complementary node in global AI and manufacturing value chains rather than a standalone growth engine. Malaysia’s electrical and electronics sector remains export‑heavy, with semiconductors a large share; Indonesia supplies essential battery metals, Indonesia commands a majority of global nickel output, and Vietnam continues to act as a manufacturing connector for U.S. demand while sourcing inputs from China. These roles offer targeted opportunities but also expose countries to external demand swings and geopolitical frictions.</w:t>
      </w:r>
      <w:r/>
    </w:p>
    <w:p>
      <w:r/>
      <w:r>
        <w:t>Taken together, the data and policy narrative point to a year of selective opportunity and heightened risk. According to analysts cited in the lead article, investors will need to be markedly selective: areas tied closely to AI and semiconductors, high‑quality Indian equities benefiting from domestic fiscal and monetary easing, and specific Southeast Asian plays aligned with supply‑chain specialisation are the most promising. At the same time, analysts warn that China’s export strength should not be read as a cure for its consumption shortfall; IMF and market evidence suggests the housing and household sectors will remain drags for some time.</w:t>
      </w:r>
      <w:r/>
    </w:p>
    <w:p>
      <w:r/>
      <w:r>
        <w:t>The broader lesson for 2026 is that Asia’s fortunes will be driven by the intersection of technology adoption, policy choices and external trade dynamics. The winners will be those economies and firms that combine exposure to AI‑related capital expenditure with resilient domestic demand or unique positions in essential supply chains; the losers will be those overly reliant on fading housing wealth or unprotected from trade retrenchment. In this fragmented global economy, nuance and selectivity will matter far more than broad regional allocations.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https://www.thailand-business-news.com/economics/276342-asia-in-2026-navigating-divergence-in-a-fractured-global-economy</w:t>
        </w:r>
      </w:hyperlink>
      <w:r>
        <w:t xml:space="preserve"> - Please view link - unable to able to access data</w:t>
      </w:r>
      <w:r/>
    </w:p>
    <w:p>
      <w:pPr>
        <w:pStyle w:val="ListNumber"/>
        <w:spacing w:line="240" w:lineRule="auto"/>
        <w:ind w:left="720"/>
      </w:pPr>
      <w:r/>
      <w:hyperlink r:id="rId11">
        <w:r>
          <w:rPr>
            <w:color w:val="0000EE"/>
            <w:u w:val="single"/>
          </w:rPr>
          <w:t>https://www.goldmansachs.com/insights/articles/chinas-economy-is-forecast-to-grow-faster-than-expected-in-2026</w:t>
        </w:r>
      </w:hyperlink>
      <w:r>
        <w:t xml:space="preserve"> - Goldman Sachs forecasts China's real export growth to increase to 5-6% annually in the coming years, up from a previous estimate of 2-3%. This revision is based on Chinese goods gaining global market share, with the 2025 real GDP growth forecast adjusted from 4.9% to 5.0%, and the 2026 forecast raised from 4.3% to 4.8%. Despite U.S. tariffs, Chinese exports are expected to grow by 8% in 2025, demonstrating the competitiveness of Chinese products across various industries.</w:t>
      </w:r>
      <w:r/>
    </w:p>
    <w:p>
      <w:pPr>
        <w:pStyle w:val="ListNumber"/>
        <w:spacing w:line="240" w:lineRule="auto"/>
        <w:ind w:left="720"/>
      </w:pPr>
      <w:r/>
      <w:hyperlink r:id="rId12">
        <w:r>
          <w:rPr>
            <w:color w:val="0000EE"/>
            <w:u w:val="single"/>
          </w:rPr>
          <w:t>https://www.cnbc.com/2024/02/02/imf-chinas-new-housing-demand-to-drop-by-50percent-in-the-next-decade.html</w:t>
        </w:r>
      </w:hyperlink>
      <w:r>
        <w:t xml:space="preserve"> - The International Monetary Fund (IMF) projects that demand for new housing in China will decline by approximately 50% over the next decade. This anticipated drop is attributed to a decrease in new urban households and a significant inventory of unfinished or vacant properties. The IMF notes that this reduction in housing demand could prolong the adjustment period in the property market and weigh on overall economic growth.</w:t>
      </w:r>
      <w:r/>
    </w:p>
    <w:p>
      <w:pPr>
        <w:pStyle w:val="ListNumber"/>
        <w:spacing w:line="240" w:lineRule="auto"/>
        <w:ind w:left="720"/>
      </w:pPr>
      <w:r/>
      <w:hyperlink r:id="rId13">
        <w:r>
          <w:rPr>
            <w:color w:val="0000EE"/>
            <w:u w:val="single"/>
          </w:rPr>
          <w:t>https://www.apnews.com/article/a0bc5a9d1ae887ee3fa027f408582f60</w:t>
        </w:r>
      </w:hyperlink>
      <w:r>
        <w:t xml:space="preserve"> - China Vanke, a leading Chinese homebuilder, narrowly avoided defaulting on a 2 billion yuan ($284 million) bond amid a prolonged downturn in the country's property market. The developer, facing ongoing liquidity pressures, also reached an agreement to delay repayment of another 3.7 billion yuan ($530 million) in onshore debt. This situation highlights the broader fragility in China's real estate sector, where housing prices have dropped more than 20% since 2021 and property investments have fallen nearly 16% in 2025.</w:t>
      </w:r>
      <w:r/>
    </w:p>
    <w:p>
      <w:pPr>
        <w:pStyle w:val="ListNumber"/>
        <w:spacing w:line="240" w:lineRule="auto"/>
        <w:ind w:left="720"/>
      </w:pPr>
      <w:r/>
      <w:hyperlink r:id="rId14">
        <w:r>
          <w:rPr>
            <w:color w:val="0000EE"/>
            <w:u w:val="single"/>
          </w:rPr>
          <w:t>https://www.apnews.com/article/bc3a5559afb9c2482692d0e78b7fe433</w:t>
        </w:r>
      </w:hyperlink>
      <w:r>
        <w:t xml:space="preserve"> - China has imposed anti-dumping tariffs ranging from 4.9% to 19.8% on pork imports from the European Union for five years. This decision follows an investigation that concluded the EU was selling pork and pork by-products in China below cost, harming the domestic industry. The tariffs are significantly lower than the earlier provisional rates of up to 62.4% imposed in September, and the tax covers all forms of pork, with Spain, the Netherlands, and Denmark expected to be most affected.</w:t>
      </w:r>
      <w:r/>
    </w:p>
    <w:p>
      <w:pPr>
        <w:pStyle w:val="ListNumber"/>
        <w:spacing w:line="240" w:lineRule="auto"/>
        <w:ind w:left="720"/>
      </w:pPr>
      <w:r/>
      <w:hyperlink r:id="rId15">
        <w:r>
          <w:rPr>
            <w:color w:val="0000EE"/>
            <w:u w:val="single"/>
          </w:rPr>
          <w:t>https://www.chinadaily.com.cn/a/202502/12/WS67ac0b53a310a2ab06eabc56.html</w:t>
        </w:r>
      </w:hyperlink>
      <w:r>
        <w:t xml:space="preserve"> - China's foreign trade rose by 5% year-on-year to reach a record high of 43.85 trillion yuan in 2024. The growth was driven by mechanical and electrical product exports, which grew 8.7% year-on-year, accounting for 59.4% of the country's total exports. The country's electric vehicle exports rose 13.1% compared with 2023, while its 3D printer exports increased 32.8% and industrial robot exports surged 45.2%. This performance reflects China's efforts to enhance its high-value export portfolio and deepen its market presence in emerging economies.</w:t>
      </w:r>
      <w:r/>
    </w:p>
    <w:p>
      <w:pPr>
        <w:pStyle w:val="ListNumber"/>
        <w:spacing w:line="240" w:lineRule="auto"/>
        <w:ind w:left="720"/>
      </w:pPr>
      <w:r/>
      <w:hyperlink r:id="rId16">
        <w:r>
          <w:rPr>
            <w:color w:val="0000EE"/>
            <w:u w:val="single"/>
          </w:rPr>
          <w:t>https://www.scmp.com/tech/tech-trends/article/3304120/chinas-2025-cloud-spending-grow-15-back-deepseek-driven-ai-adoption</w:t>
        </w:r>
      </w:hyperlink>
      <w:r>
        <w:t xml:space="preserve"> - Cloud infrastructure services spending in mainland China is expected to increase by 15% in 2025, driven by the momentum of DeepSeek's AI adoption. Cloud spending, which totalled US$40 billion in 2024, is projected to reach US$46 billion this year as leading cloud providers such as Alibaba Group Holding, Huawei Technologies, and Tencent Holdings expand their investments. The launch of DeepSeek's R1 model in January has accelerated enterprise adoption of AI, driving profound changes across the cloud services value chain.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ailand-business-news.com/economics/276342-asia-in-2026-navigating-divergence-in-a-fractured-global-economy" TargetMode="External"/><Relationship Id="rId11" Type="http://schemas.openxmlformats.org/officeDocument/2006/relationships/hyperlink" Target="https://www.goldmansachs.com/insights/articles/chinas-economy-is-forecast-to-grow-faster-than-expected-in-2026" TargetMode="External"/><Relationship Id="rId12" Type="http://schemas.openxmlformats.org/officeDocument/2006/relationships/hyperlink" Target="https://www.cnbc.com/2024/02/02/imf-chinas-new-housing-demand-to-drop-by-50percent-in-the-next-decade.html" TargetMode="External"/><Relationship Id="rId13" Type="http://schemas.openxmlformats.org/officeDocument/2006/relationships/hyperlink" Target="https://www.apnews.com/article/a0bc5a9d1ae887ee3fa027f408582f60" TargetMode="External"/><Relationship Id="rId14" Type="http://schemas.openxmlformats.org/officeDocument/2006/relationships/hyperlink" Target="https://www.apnews.com/article/bc3a5559afb9c2482692d0e78b7fe433" TargetMode="External"/><Relationship Id="rId15" Type="http://schemas.openxmlformats.org/officeDocument/2006/relationships/hyperlink" Target="https://www.chinadaily.com.cn/a/202502/12/WS67ac0b53a310a2ab06eabc56.html" TargetMode="External"/><Relationship Id="rId16" Type="http://schemas.openxmlformats.org/officeDocument/2006/relationships/hyperlink" Target="https://www.scmp.com/tech/tech-trends/article/3304120/chinas-2025-cloud-spending-grow-15-back-deepseek-driven-ai-adop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