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shipping's digital leap promises efficiency and sustainability gains by 2033</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maritime shipping sector is entering a decisive period of structural transformation in which digitalisation and port call optimisation move from experimental projects to boardroom priorities, according to a Platform Executive study of developments between 2026 and 2033. The report argues that optimised port calls, underpinned by predictive analytics, Port Community Systems, digital twins and collaborative platforms, offer one of the few remaining levers to unlock significant efficiency, environmental and commercial gains without large‑scale physical expansion.</w:t>
      </w:r>
      <w:r/>
    </w:p>
    <w:p>
      <w:r/>
      <w:r>
        <w:t>Industry drivers are converging. Regulatory pressure on emissions reporting and carbon pricing is making waiting time and inefficient steaming financially and reputationally costly. At the same time, constrained land, labour and community opposition limit port expansion, while trade‑cycle volatility, weather disruption and geopolitical friction increase the value of resilience. The study frames port call optimisation as a strategic response that can reduce vessel idle time, improve berth utilisation, lower fuel consumption and strengthen schedule reliability across container, dry bulk, liquid bulk and selected specialist segments.</w:t>
      </w:r>
      <w:r/>
    </w:p>
    <w:p>
      <w:r/>
      <w:r>
        <w:t>Technologies expected to have the greatest operational impact include AI‑driven predictive analytics, IoT and AIS integration, digital twins, blockchain for trusted data exchange, edge computing and automation from autonomous mooring to robotic cargo handling. According to the report, these enablers support a functional architecture that begins with high‑quality real‑time data feeds, progresses through analytics and optimisation, and culminates in collaborative decision support and execution layers that can feed robotic or remote operations.</w:t>
      </w:r>
      <w:r/>
    </w:p>
    <w:p>
      <w:r/>
      <w:r>
        <w:t>Realising measurable ROI requires a phased, roadmap‑driven approach. Platform Executive outlines a four‑phase adoption path from foundational digitalisation (Port Community Systems, AIS integration and basic governance) through predictive enablement and multi‑stakeholder collaboration to, ultimately, adaptive and semi‑autonomous operations by the early 2030s. The study emphasises that sequential rollout, performance metrics and outcome‑based commercial models can accelerate adoption while managing integration risk.</w:t>
      </w:r>
      <w:r/>
    </w:p>
    <w:p>
      <w:r/>
      <w:r>
        <w:t>Yet the path is littered with practical and strategic obstacles. Legacy, siloed systems and proprietary data formats constrain interoperability, leaving decision making reactive rather than anticipatory. Data governance, cybersecurity, workforce readiness and misaligned incentives across shipping lines, port authorities, terminals and service providers are identified as critical issues. The study warns that without neutral governance, robust measurement frameworks and clear value‑sharing mechanisms, platforms risk partial adoption and limited systemic benefit.</w:t>
      </w:r>
      <w:r/>
    </w:p>
    <w:p>
      <w:r/>
      <w:r>
        <w:t>Commercial models are evolving to bridge those gaps. Port‑led neutral platforms, consortium and public‑private partnerships, carrier‑driven solutions and vendor SaaS offerings each have trade‑offs. Outcome‑based and performance‑linked pricing, fees tied to reduced waiting times, fuel savings or throughput gains, can align incentives, but they depend on trusted, auditable data sources. Platform Executive notes that consortium models and port authority orchestration tend to achieve broader participation by mitigating concerns about competitive advantage and data misuse.</w:t>
      </w:r>
      <w:r/>
    </w:p>
    <w:p>
      <w:r/>
      <w:r>
        <w:t>Regional variation will shape the adoption trajectory. Europe and parts of Asia Pacific lead in Port Community Systems, regulatory clarity and public funding for smart infrastructure. North America shows growing interest but faces governance fragmentation and labour considerations. The Middle East benefits from greenfield opportunities and government backing, while Africa and Latin America exhibit uneven progress constrained by capital and infrastructure gaps. The 2026–2033 forecast anticipates an acceleration phase as standards mature and ROI cases proliferate, but adoption will remain patchy without harmonised protocols.</w:t>
      </w:r>
      <w:r/>
    </w:p>
    <w:p>
      <w:r/>
      <w:r>
        <w:t>The economic case is persuasive for busy gateways. Modelled scenarios in the report show relatively short payback periods for major ports and carriers, driven by fuel and demurrage savings, improved fleet utilisation and higher terminal throughput. Environmental co‑benefits, reduced CO₂ from just‑in‑time arrivals and lower idling, further strengthen the business case in jurisdictions with carbon pricing or stringent reporting rules.</w:t>
      </w:r>
      <w:r/>
    </w:p>
    <w:p>
      <w:r/>
      <w:r>
        <w:t>Implementation risk management is central. The study highlights four priority actions for senior executives: establish clear governance and data‑sharing rules; invest early in cybersecurity and resilient cloud/edge architectures; align commercial incentives through transparent value‑sharing models; and commit to structured change management and workforce reskilling. It recommends piloting within high‑frequency corridors, using digital twins to de‑risk operational changes, and adopting phased, interoperable APIs rather than wholesale system replacement.</w:t>
      </w:r>
      <w:r/>
    </w:p>
    <w:p>
      <w:r/>
      <w:r>
        <w:t>Mergers, acquisitions and strategic alliances are also reshaping the supplier landscape. Platform Executive expects consolidation as incumbents buy specialist analytics or automation firms and as private equity increases investment in stable, port‑related revenues. For buyers, vendor selection will hinge less on feature lists and more on interoperability, governance neutrality, global footprint and flexible commercial terms.</w:t>
      </w:r>
      <w:r/>
    </w:p>
    <w:p>
      <w:r/>
      <w:r>
        <w:t>The study concludes that port call optimisation is among the most economically attractive digital investments available to the maritime ecosystem, provided the multi‑stakeholder challenges are addressed. Where consensus emerges around standards, governance and outcome measurement, ports and shipping lines can extract substantial value from existing infrastructure, improve environmental performance and secure competitive advantage in an increasingly volatile and regulated trade environment.</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https://www.platformexecutive.com/insight/transport-and-logistics-research/maritime-shipping-digitalisation-and-port-call-optimisation-2026-to-2033/</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tformexecutive.com/insight/transport-and-logistics-research/maritime-shipping-digitalisation-and-port-call-optimisation-2026-to-2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