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From scorecards to systems: reshaping partner ecosystems for sustained growth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Most companies treat partnerships as scorecards rather than systems, and that short‑term mindset quickly curdles into fractured customer experiences and wasted resources. Designing a partner ecosystem that delivers sustained growth requires shifting from counting logos to engineering networks that create measurable value. According to Deloitte, that starts with a consistent yet flexible foundation: clear value propositions, differentiated partner archetypes and rigorous enablement. </w:t>
      </w:r>
      <w:r/>
    </w:p>
    <w:p>
      <w:r/>
      <w:r>
        <w:t xml:space="preserve">The common failure mode is simple: organisations optimise for partner count, not partner performance. When programmes reward sign‑ups rather than outcomes, partners duplicate effort, compete for the same buyers and produce confusing messages for customers. Channel Futures warns that ecosystems must be organised around joint value propositions and the customer experience to avoid this fragmentation. </w:t>
      </w:r>
      <w:r/>
    </w:p>
    <w:p>
      <w:r/>
      <w:r>
        <w:t xml:space="preserve">That strategic/tactical gap, big picture intent on one hand, reactive coordination on the other, shows up everywhere: executives announce alliances while commercial teams lack playbooks, product teams discover misaligned integrations, and marketing spends on campaigns with negligible overlap in audiences. Forbes argues that candid, consistent communication across partners and internal teams is critical to convert strategic intent into co‑ordinated action. </w:t>
      </w:r>
      <w:r/>
    </w:p>
    <w:p>
      <w:r/>
      <w:r>
        <w:t xml:space="preserve">Simple tools mask complexity until they fail. Spreadsheets and ad‑hoc email workflows survive at ten partners but crumble as engagement scales; marketing resources fragment, attribution disappears across systems, and high‑performing partners are starved of support. Practical co‑selling guides recommend investing in shared processes for joint campaigns, seamless onboarding and customer handoffs to prevent this “coordination tax.” </w:t>
      </w:r>
      <w:r/>
    </w:p>
    <w:p>
      <w:r/>
      <w:r>
        <w:t xml:space="preserve">Organisational memory hits an operational ceiling , typically around 20–30 partners , because relational knowledge cannot substitute for structured data flows. Deloitte highlights the need to instrument partner interactions with analytics, feedback loops and portals so ecosystem connections are visible and actionable rather than buried in rows and inboxes. Channel Futures likewise emphasises organising around customer outcomes rather than partner volume. </w:t>
      </w:r>
      <w:r/>
    </w:p>
    <w:p>
      <w:r/>
      <w:r>
        <w:t xml:space="preserve">Measurement must move from activity to impact. Industry guidance urges fixing attribution first: deal registration, CRM tagging and margin analysis so you can identify which partners actually generate profitable revenue. Deloitte recommends layering leading indicators , engagement frequency, pipeline quality and joint opportunity development , on top of lagging metrics such as partner‑sourced revenue and win rates. </w:t>
      </w:r>
      <w:r/>
    </w:p>
    <w:p>
      <w:r/>
      <w:r>
        <w:t xml:space="preserve">Because ecosystems follow a power law, organisations should segment and tier partners by strategic value, performance and potential, and be prepared to exit underperformers. Council Fire’s guidance on sustainability ecosystems reinforces the value of co‑investment and clear impact metrics: invest where partners demonstrably advance shared goals and redeploy resources when they do not. Exit decisions should be professional and data‑driven, not sentimental. </w:t>
      </w:r>
      <w:r/>
    </w:p>
    <w:p>
      <w:r/>
      <w:r>
        <w:t xml:space="preserve">Governance and lifecycle discipline are indispensable. Define decision rights, approval gates and staged criteria for prospect, onboard, enable, scale and exit. Channel Futures and Deloitte both stress lightweight governance that enables fast adjudication of conflicts and formalises responsibilities for joint business plans, marketing approvals and escalation paths. </w:t>
      </w:r>
      <w:r/>
    </w:p>
    <w:p>
      <w:r/>
      <w:r>
        <w:t xml:space="preserve">Conflict is inevitable; how it is resolved determines partner trust. Practical co‑selling advice suggests embedding collision management into governance: clear rules for deal ownership, timelines for dispute resolution, and agreed escalation authorities. Forbes also highlights the role of transparent, culturally aware communication to prevent misunderstandings from stalling innovation. </w:t>
      </w:r>
      <w:r/>
    </w:p>
    <w:p>
      <w:r/>
      <w:r>
        <w:t xml:space="preserve">Finally, technology should be chosen to remove coordination friction rather than to paper over organisational shortcomings. Platforms that enable self‑service onboarding, automated deal registration, performance dashboards and structured feedback loops let partners create value without proportional increases in human coordination. Industry analyses recommend coupling such platforms with governance and measurement so the ecosystem becomes a source of strategic insights rather than an administrative burden. </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[6]</w:t>
        </w:r>
      </w:hyperlink>
      <w:r>
        <w:t xml:space="preserve">- Paragraph 2: </w:t>
      </w:r>
      <w:hyperlink r:id="rId11">
        <w:r>
          <w:rPr>
            <w:color w:val="0000EE"/>
            <w:u w:val="single"/>
          </w:rPr>
          <w:t>[7]</w:t>
        </w:r>
      </w:hyperlink>
      <w:r>
        <w:t xml:space="preserve">- Paragraph 3: </w:t>
      </w:r>
      <w:hyperlink r:id="rId12">
        <w:r>
          <w:rPr>
            <w:color w:val="0000EE"/>
            <w:u w:val="single"/>
          </w:rPr>
          <w:t>[3]</w:t>
        </w:r>
      </w:hyperlink>
      <w:r>
        <w:t xml:space="preserve">- Paragraph 4: </w:t>
      </w:r>
      <w:hyperlink r:id="rId13">
        <w:r>
          <w:rPr>
            <w:color w:val="0000EE"/>
            <w:u w:val="single"/>
          </w:rPr>
          <w:t>[4]</w:t>
        </w:r>
      </w:hyperlink>
      <w:r>
        <w:t xml:space="preserve">, </w:t>
      </w:r>
      <w:hyperlink r:id="rId10">
        <w:r>
          <w:rPr>
            <w:color w:val="0000EE"/>
            <w:u w:val="single"/>
          </w:rPr>
          <w:t>[6]</w:t>
        </w:r>
      </w:hyperlink>
      <w:r>
        <w:t xml:space="preserve">- Paragraph 5: </w:t>
      </w:r>
      <w:hyperlink r:id="rId10">
        <w:r>
          <w:rPr>
            <w:color w:val="0000EE"/>
            <w:u w:val="single"/>
          </w:rPr>
          <w:t>[6]</w:t>
        </w:r>
      </w:hyperlink>
      <w:r>
        <w:t xml:space="preserve">, </w:t>
      </w:r>
      <w:hyperlink r:id="rId11">
        <w:r>
          <w:rPr>
            <w:color w:val="0000EE"/>
            <w:u w:val="single"/>
          </w:rPr>
          <w:t>[7]</w:t>
        </w:r>
      </w:hyperlink>
      <w:r>
        <w:t xml:space="preserve">- Paragraph 6: </w:t>
      </w:r>
      <w:hyperlink r:id="rId10">
        <w:r>
          <w:rPr>
            <w:color w:val="0000EE"/>
            <w:u w:val="single"/>
          </w:rPr>
          <w:t>[6]</w:t>
        </w:r>
      </w:hyperlink>
      <w:r>
        <w:t xml:space="preserve">, </w:t>
      </w:r>
      <w:hyperlink r:id="rId13">
        <w:r>
          <w:rPr>
            <w:color w:val="0000EE"/>
            <w:u w:val="single"/>
          </w:rPr>
          <w:t>[4]</w:t>
        </w:r>
      </w:hyperlink>
      <w:r>
        <w:t xml:space="preserve">- Paragraph 7: </w:t>
      </w:r>
      <w:hyperlink r:id="rId14">
        <w:r>
          <w:rPr>
            <w:color w:val="0000EE"/>
            <w:u w:val="single"/>
          </w:rPr>
          <w:t>[2]</w:t>
        </w:r>
      </w:hyperlink>
      <w:r>
        <w:t xml:space="preserve">, </w:t>
      </w:r>
      <w:hyperlink r:id="rId10">
        <w:r>
          <w:rPr>
            <w:color w:val="0000EE"/>
            <w:u w:val="single"/>
          </w:rPr>
          <w:t>[6]</w:t>
        </w:r>
      </w:hyperlink>
      <w:r>
        <w:t xml:space="preserve">- Paragraph 8: </w:t>
      </w:r>
      <w:hyperlink r:id="rId11">
        <w:r>
          <w:rPr>
            <w:color w:val="0000EE"/>
            <w:u w:val="single"/>
          </w:rPr>
          <w:t>[7]</w:t>
        </w:r>
      </w:hyperlink>
      <w:r>
        <w:t xml:space="preserve">, </w:t>
      </w:r>
      <w:hyperlink r:id="rId10">
        <w:r>
          <w:rPr>
            <w:color w:val="0000EE"/>
            <w:u w:val="single"/>
          </w:rPr>
          <w:t>[6]</w:t>
        </w:r>
      </w:hyperlink>
      <w:r>
        <w:t xml:space="preserve">- Paragraph 9: </w:t>
      </w:r>
      <w:hyperlink r:id="rId13">
        <w:r>
          <w:rPr>
            <w:color w:val="0000EE"/>
            <w:u w:val="single"/>
          </w:rPr>
          <w:t>[4]</w:t>
        </w:r>
      </w:hyperlink>
      <w:r>
        <w:t xml:space="preserve">, </w:t>
      </w:r>
      <w:hyperlink r:id="rId12">
        <w:r>
          <w:rPr>
            <w:color w:val="0000EE"/>
            <w:u w:val="single"/>
          </w:rPr>
          <w:t>[3]</w:t>
        </w:r>
      </w:hyperlink>
      <w:r>
        <w:t xml:space="preserve">- Paragraph 10: </w:t>
      </w:r>
      <w:hyperlink r:id="rId10">
        <w:r>
          <w:rPr>
            <w:color w:val="0000EE"/>
            <w:u w:val="single"/>
          </w:rPr>
          <w:t>[6]</w:t>
        </w:r>
      </w:hyperlink>
      <w:r>
        <w:t xml:space="preserve">, </w:t>
      </w:r>
      <w:hyperlink r:id="rId13">
        <w:r>
          <w:rPr>
            <w:color w:val="0000EE"/>
            <w:u w:val="single"/>
          </w:rPr>
          <w:t>[4]</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https://www.itonics-innovation.com/blog/operationalizing-partner-ecosystems</w:t>
        </w:r>
      </w:hyperlink>
      <w:r>
        <w:t xml:space="preserve"> - Please view link - unable to able to access data</w:t>
      </w:r>
      <w:r/>
    </w:p>
    <w:p>
      <w:pPr>
        <w:pStyle w:val="ListNumber"/>
        <w:spacing w:line="240" w:lineRule="auto"/>
        <w:ind w:left="720"/>
      </w:pPr>
      <w:r/>
      <w:hyperlink r:id="rId14">
        <w:r>
          <w:rPr>
            <w:color w:val="0000EE"/>
            <w:u w:val="single"/>
          </w:rPr>
          <w:t>https://www.councilfire.org/guides/ultimate-guide-to-sustainability-focused-partner-ecosystems/</w:t>
        </w:r>
      </w:hyperlink>
      <w:r>
        <w:t xml:space="preserve"> - This comprehensive guide outlines best practices for managing sustainability-focused partner ecosystems. It emphasizes the importance of structured collaboration frameworks, co-investment models for shared success, and the use of industry standards and metrics. The guide also highlights the need for regenerative infrastructure and provides a roadmap for scaling sustainability ecosystems, including identifying priority impact areas and launching flagship projects designed for replication. These strategies aim to ensure meaningful and lasting impact in sustainability-focused partnerships.</w:t>
      </w:r>
      <w:r/>
    </w:p>
    <w:p>
      <w:pPr>
        <w:pStyle w:val="ListNumber"/>
        <w:spacing w:line="240" w:lineRule="auto"/>
        <w:ind w:left="720"/>
      </w:pPr>
      <w:r/>
      <w:hyperlink r:id="rId12">
        <w:r>
          <w:rPr>
            <w:color w:val="0000EE"/>
            <w:u w:val="single"/>
          </w:rPr>
          <w:t>https://www.forbes.com/sites/forbescommunicationscouncil/2018/07/18/how-to-communicate-across-partner-ecosystems-to-spark-innovation/</w:t>
        </w:r>
      </w:hyperlink>
      <w:r>
        <w:t xml:space="preserve"> - This article discusses strategies for effective communication within partner ecosystems to foster innovation. It emphasizes the importance of listening to employees and partners, embracing diversity and inclusion, being candid about challenges, and getting creative with communication methods. The piece also stresses the need for consistent messaging to transcend cultural and language barriers, ensuring all partners are aligned and informed. These approaches are crucial for sparking and sustaining innovation within collaborative partnerships.</w:t>
      </w:r>
      <w:r/>
    </w:p>
    <w:p>
      <w:pPr>
        <w:pStyle w:val="ListNumber"/>
        <w:spacing w:line="240" w:lineRule="auto"/>
        <w:ind w:left="720"/>
      </w:pPr>
      <w:r/>
      <w:hyperlink r:id="rId13">
        <w:r>
          <w:rPr>
            <w:color w:val="0000EE"/>
            <w:u w:val="single"/>
          </w:rPr>
          <w:t>https://www.zugit.com/5-best-practices-to-co-sell-with-your-partner-ecosystem/</w:t>
        </w:r>
      </w:hyperlink>
      <w:r>
        <w:t xml:space="preserve"> - This article outlines five best practices for co-selling within a partner ecosystem. It highlights the importance of collaborating on marketing and promotional efforts, leveraging partner networks and relationships, ensuring seamless customer onboarding and support, fostering clear and effective communication between partners, and developing joint value propositions. These practices aim to enhance the effectiveness of co-selling strategies, leading to increased revenue and stronger partnerships.</w:t>
      </w:r>
      <w:r/>
    </w:p>
    <w:p>
      <w:pPr>
        <w:pStyle w:val="ListNumber"/>
        <w:spacing w:line="240" w:lineRule="auto"/>
        <w:ind w:left="720"/>
      </w:pPr>
      <w:r/>
      <w:hyperlink r:id="rId16">
        <w:r>
          <w:rPr>
            <w:color w:val="0000EE"/>
            <w:u w:val="single"/>
          </w:rPr>
          <w:t>https://en.wikipedia.org/wiki/Cross-sector_biodiversity_initiative</w:t>
        </w:r>
      </w:hyperlink>
      <w:r>
        <w:t xml:space="preserve"> - The Cross-Sector Biodiversity Initiative (CSBI) is a partnership between IPIECA, the International Council on Mining and Metals (ICMM), and the Equator Principles Association. It focuses on developing and sharing good practices related to the management of biodiversity and ecosystem services in the extractive industries. The initiative supports the application of the mitigation hierarchy in relation to biodiversity and ecosystem services, as defined in the International Finance Corporation (IFC) Performance Standard 6.</w:t>
      </w:r>
      <w:r/>
    </w:p>
    <w:p>
      <w:pPr>
        <w:pStyle w:val="ListNumber"/>
        <w:spacing w:line="240" w:lineRule="auto"/>
        <w:ind w:left="720"/>
      </w:pPr>
      <w:r/>
      <w:hyperlink r:id="rId10">
        <w:r>
          <w:rPr>
            <w:color w:val="0000EE"/>
            <w:u w:val="single"/>
          </w:rPr>
          <w:t>https://www.deloitte.com/us/en/insights/focus/industry-4-0/partner-ecosystem-customer-experience-outcomes.html/</w:t>
        </w:r>
      </w:hyperlink>
      <w:r>
        <w:t xml:space="preserve"> - This Deloitte Insights article discusses designing partner programs with a consistent yet flexible foundation. It emphasizes the need for clear value propositions, flexible partner programs catering to different partner archetypes, and comprehensive enablement strategies. The article also highlights the importance of tracking and measuring success across the partner ecosystem, ensuring a two-way feedback mechanism to improve business, product, or service offerings. These strategies are crucial for enhancing partner engagement and achieving desired outcomes.</w:t>
      </w:r>
      <w:r/>
    </w:p>
    <w:p>
      <w:pPr>
        <w:pStyle w:val="ListNumber"/>
        <w:spacing w:line="240" w:lineRule="auto"/>
        <w:ind w:left="720"/>
      </w:pPr>
      <w:r/>
      <w:hyperlink r:id="rId11">
        <w:r>
          <w:rPr>
            <w:color w:val="0000EE"/>
            <w:u w:val="single"/>
          </w:rPr>
          <w:t>https://www.channelfutures.com/regulation-compliance/building-a-partner-ecosystem-here-are-four-must-haves-to-make-it-work</w:t>
        </w:r>
      </w:hyperlink>
      <w:r>
        <w:t xml:space="preserve"> - This article outlines four essential elements for building a successful partner ecosystem. It emphasizes the need for ecosystem members to collaborate in creating products and services, form joint value propositions, and organize marketing strategies around the customer's experience. These elements are crucial for ensuring that the ecosystem delivers cohesive and compelling solutions to customers, thereby enhancing the overall effectiveness and value of the partnership.</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tonics-innovation.com/blog/operationalizing-partner-ecosystems" TargetMode="External"/><Relationship Id="rId10" Type="http://schemas.openxmlformats.org/officeDocument/2006/relationships/hyperlink" Target="https://www.deloitte.com/us/en/insights/focus/industry-4-0/partner-ecosystem-customer-experience-outcomes.html/" TargetMode="External"/><Relationship Id="rId11" Type="http://schemas.openxmlformats.org/officeDocument/2006/relationships/hyperlink" Target="https://www.channelfutures.com/regulation-compliance/building-a-partner-ecosystem-here-are-four-must-haves-to-make-it-work" TargetMode="External"/><Relationship Id="rId12" Type="http://schemas.openxmlformats.org/officeDocument/2006/relationships/hyperlink" Target="https://www.forbes.com/sites/forbescommunicationscouncil/2018/07/18/how-to-communicate-across-partner-ecosystems-to-spark-innovation/" TargetMode="External"/><Relationship Id="rId13" Type="http://schemas.openxmlformats.org/officeDocument/2006/relationships/hyperlink" Target="https://www.zugit.com/5-best-practices-to-co-sell-with-your-partner-ecosystem/" TargetMode="External"/><Relationship Id="rId14" Type="http://schemas.openxmlformats.org/officeDocument/2006/relationships/hyperlink" Target="https://www.councilfire.org/guides/ultimate-guide-to-sustainability-focused-partner-ecosystems/" TargetMode="External"/><Relationship Id="rId15" Type="http://schemas.openxmlformats.org/officeDocument/2006/relationships/hyperlink" Target="https://www.noahwire.com" TargetMode="External"/><Relationship Id="rId16" Type="http://schemas.openxmlformats.org/officeDocument/2006/relationships/hyperlink" Target="https://en.wikipedia.org/wiki/Cross-sector_biodiversity_initiativ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