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UK companies can optimise cloud costs through strategic procurement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migration to cloud-first tooling has vastly expanded corporate software estates, but it has also made cost control more complex for UK boards. Left unchecked, idle seats, overlapping features and automatic renewals quietly erode margins. Executives who treat software procurement as a strategic discipline rather than an administrative afterthought can free capital for product development and growth.</w:t>
      </w:r>
      <w:r/>
    </w:p>
    <w:p>
      <w:r/>
      <w:r>
        <w:t>Start with complete visibility. Many organisations still rely on a decentralised buying model in which teams procure subscriptions independently, leaving finance without a consolidated view of commitments. Building a single inventory of active licences, assigned seats and real usage is essential. Practical examples show the payoff: Insight UK helped an NHS trust uncover over-provisioned cloud resources, implement FinOps practices and realise roughly £100,000 of annual savings, illustrating how inventory and governance translate directly into cash retained.</w:t>
      </w:r>
      <w:r/>
    </w:p>
    <w:p>
      <w:r/>
      <w:r>
        <w:t>Move procurement from ad hoc to deliberate. Centralising purchasing and using market benchmarks gives procurement teams leverage in negotiations and prevents duplicate spend across departments. A fractional CTO engagement documented by CTOaIO cut Azure infrastructure costs by 28% after introducing real-time dashboards and tighter governance, while accelerating decision-making. Similarly, Efficio Consulting worked with a fast-growing SaaS provider to identify infrastructure efficiencies that reduced cloud costs by 24% and lifted gross margin by 1.6 percentage points, showing how targeted interventions at the procurement and architecture layer improve profitability.</w:t>
      </w:r>
      <w:r/>
    </w:p>
    <w:p>
      <w:r/>
      <w:r>
        <w:t>Harness automation to keep control without bureaucratic drag. Manual spreadsheets cannot reliably track renewals, idle accounts or licence mismatches at scale. Modern optimisation platforms detect dormant users, flag impending renewals, and suggest the appropriate licence tier for each user. Automation was also central to marketing and acquisition wins in several case studies: Fruity Llama’s data-led PPC overhaul for a SaaS startup improved return on investment by 215% in 90 days through creative segmentation and bid reallocation, while LiftLab’s geo-based experiment on Google brand search cut ad spend by 87% and boosted profitability by 3.5%. These examples underline that automation and experimentation can sharply reduce acquisition and subscription waste.</w:t>
      </w:r>
      <w:r/>
    </w:p>
    <w:p>
      <w:r/>
      <w:r>
        <w:t>Embed accountability beyond finance. Cost discipline succeeds only when department leaders accept ownership of the tools they request. Regular reviews that present clear utilisation and spend metrics encourage cross-team collaboration and consolidation where appropriate. Squared.io’s work on placement exclusions for a telecom client resulted in a 122% improvement in return on ad spend and a 26% cut in cost per acquisition by automatically excluding low-quality inventory, demonstrating how governance combined with automated rules can protect spend and uplift outcomes.</w:t>
      </w:r>
      <w:r/>
    </w:p>
    <w:p>
      <w:r/>
      <w:r>
        <w:t>Put in place repeatable processes. SaaS estates are dynamic: teams scale up, vendors change pricing and new tools appear. A continuous optimisation cycle, inventory, rightsizing, negotiation, automation and stakeholder review, turns cost control into a sustainable capability rather than a one-off exercise. Case studies consistently show that combining technical fixes (rightsizing, automation, cloud configuration) with commercial actions (benchmarks, renegotiation) delivers the largest returns.</w:t>
      </w:r>
      <w:r/>
    </w:p>
    <w:p>
      <w:r/>
      <w:r>
        <w:t>For executives seeking practical next steps, the evidence suggests prioritising three levers: restore end-to-end visibility across subscriptions; apply automation to detect and act on inefficiencies in real time; and centralise commercial negotiation supported by market data. When those elements are combined with clear departmental accountability, organisations can stem leakage in digital spend and redirect funds to areas that drive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https://goodmenproject.com/technology/saas-spend-optimisation-a-modern-guide-for-uk-business-executives/</w:t>
        </w:r>
      </w:hyperlink>
      <w:r>
        <w:t xml:space="preserve"> - Please view link - unable to able to access data</w:t>
      </w:r>
      <w:r/>
    </w:p>
    <w:p>
      <w:pPr>
        <w:pStyle w:val="ListNumber"/>
        <w:spacing w:line="240" w:lineRule="auto"/>
        <w:ind w:left="720"/>
      </w:pPr>
      <w:r/>
      <w:hyperlink r:id="rId11">
        <w:r>
          <w:rPr>
            <w:color w:val="0000EE"/>
            <w:u w:val="single"/>
          </w:rPr>
          <w:t>https://www.fruityllama.co.uk/case-studies/saas-startup</w:t>
        </w:r>
      </w:hyperlink>
      <w:r>
        <w:t xml:space="preserve"> - This case study details how Fruity Llama, a B2B SaaS PPC agency, enhanced a client's return on investment (ROI) by 215% within 90 days. The client, a growing SaaS startup, faced challenges such as high customer acquisition costs and low click-through rates. Fruity Llama implemented a data-driven strategy focusing on quality over quantity, including adding site link extensions and countdown timers for limited-time offers. They also reallocated the budget, adjusted bids based on device performance, and created separate campaigns for different buyer personas. These efforts led to a significant reduction in cost per acquisition and an increase in conversion rates, demonstrating the effectiveness of strategic PPC management in optimising SaaS spend.</w:t>
      </w:r>
      <w:r/>
    </w:p>
    <w:p>
      <w:pPr>
        <w:pStyle w:val="ListNumber"/>
        <w:spacing w:line="240" w:lineRule="auto"/>
        <w:ind w:left="720"/>
      </w:pPr>
      <w:r/>
      <w:hyperlink r:id="rId12">
        <w:r>
          <w:rPr>
            <w:color w:val="0000EE"/>
            <w:u w:val="single"/>
          </w:rPr>
          <w:t>https://www.ctocaio.com/case-studies/advisory-cto-saas-scaleup</w:t>
        </w:r>
      </w:hyperlink>
      <w:r>
        <w:t xml:space="preserve"> - This case study highlights how a fractional CTO provided AI strategy and cloud cost control services to a growing B2B SaaS company. The company was experiencing high Azure infrastructure costs and lacked visibility on spend and governance. The CTO implemented real-time dashboards for automated reporting, reducing Azure spend by 28% and improving decision-making speed by 85%. This demonstrates the importance of strategic procurement and negotiation in SaaS spend optimisation, aligning software procurement with actual business needs to redirect capital towards innovation and growth.</w:t>
      </w:r>
      <w:r/>
    </w:p>
    <w:p>
      <w:pPr>
        <w:pStyle w:val="ListNumber"/>
        <w:spacing w:line="240" w:lineRule="auto"/>
        <w:ind w:left="720"/>
      </w:pPr>
      <w:r/>
      <w:hyperlink r:id="rId13">
        <w:r>
          <w:rPr>
            <w:color w:val="0000EE"/>
            <w:u w:val="single"/>
          </w:rPr>
          <w:t>https://uk.insight.com/en_GB/content-and-resources/2023/case-studies/nhs-trust-optimises-cloud-spend-to-save-100k-annually.html</w:t>
        </w:r>
      </w:hyperlink>
      <w:r>
        <w:t xml:space="preserve"> - This case study describes how Insight UK assisted a healthcare organisation in optimising its cloud spend, resulting in annual savings of £100,000. The organisation had migrated to a cloud infrastructure but faced overspending due to a lack of comprehensive cost optimisation. Insight's Azure Consultancy team identified over-provisioned and unused resources, implemented a cost management plan, and established FinOps best practices. These measures led to significant savings, demonstrating the impact of evaluating the current software environment and implementing automated optimisation in SaaS spend management.</w:t>
      </w:r>
      <w:r/>
    </w:p>
    <w:p>
      <w:pPr>
        <w:pStyle w:val="ListNumber"/>
        <w:spacing w:line="240" w:lineRule="auto"/>
        <w:ind w:left="720"/>
      </w:pPr>
      <w:r/>
      <w:hyperlink r:id="rId14">
        <w:r>
          <w:rPr>
            <w:color w:val="0000EE"/>
            <w:u w:val="single"/>
          </w:rPr>
          <w:t>https://www.efficioconsulting.com/en-gb/resources/case-studies/16-gross-margin-improvement-how-a-saas-provider-increased-its-profitability-through-cloud-cost-optimisation/</w:t>
        </w:r>
      </w:hyperlink>
      <w:r>
        <w:t xml:space="preserve"> - This case study illustrates how Efficio Consulting helped a SaaS provider improve its gross margin by 1.6% through cloud cost optimisation. The company, experiencing rapid growth, faced challenges in translating top-line growth into bottom-line profitability. Efficio's consultants integrated with the client's team to identify and execute cloud infrastructure cost optimisation opportunities, resulting in a 24% reduction in cloud costs. This highlights the importance of strategic procurement and negotiation, as well as implementing automated optimisation, in managing SaaS spend effectively.</w:t>
      </w:r>
      <w:r/>
    </w:p>
    <w:p>
      <w:pPr>
        <w:pStyle w:val="ListNumber"/>
        <w:spacing w:line="240" w:lineRule="auto"/>
        <w:ind w:left="720"/>
      </w:pPr>
      <w:r/>
      <w:hyperlink r:id="rId15">
        <w:r>
          <w:rPr>
            <w:color w:val="0000EE"/>
            <w:u w:val="single"/>
          </w:rPr>
          <w:t>https://www.squared.io/case-studies/zenithuk-three</w:t>
        </w:r>
      </w:hyperlink>
      <w:r>
        <w:t xml:space="preserve"> - This case study showcases how Squared.io's automated placement exclusions helped Zenith UK improve the return on ad spend (ROAS) for Three, a telecommunications company. By assessing the quality and brand suitability of ad placements and automatically excluding high-risk ones, Zenith UK reduced exposure to unsuitable content and improved campaign performance. In the first month, 20,000 high-risk placements were excluded, leading to a 122% improvement in ROAS and a 26% reduction in cost per acquisition. This demonstrates the effectiveness of strategic procurement and negotiation in optimising SaaS spend.</w:t>
      </w:r>
      <w:r/>
    </w:p>
    <w:p>
      <w:pPr>
        <w:pStyle w:val="ListNumber"/>
        <w:spacing w:line="240" w:lineRule="auto"/>
        <w:ind w:left="720"/>
      </w:pPr>
      <w:r/>
      <w:hyperlink r:id="rId16">
        <w:r>
          <w:rPr>
            <w:color w:val="0000EE"/>
            <w:u w:val="single"/>
          </w:rPr>
          <w:t>https://liftlab.com/case-studies/saas-company-experiments-with-google-branded-search/</w:t>
        </w:r>
      </w:hyperlink>
      <w:r>
        <w:t xml:space="preserve"> - This case study details how LiftLab assisted an international SaaS company in optimising their Google brand search campaign, resulting in an 87% reduction in ad spend and a 3.5% increase in profitability. The company was uncertain about their ad spend efficiency, so LiftLab conducted a geo-based experiment testing different spend levels. The experiment provided data-driven insights, enabling the company to adjust their spend to maximise profit. This highlights the importance of evaluating the current software environment and implementing automated optimisation in SaaS spend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odmenproject.com/technology/saas-spend-optimisation-a-modern-guide-for-uk-business-executives/" TargetMode="External"/><Relationship Id="rId11" Type="http://schemas.openxmlformats.org/officeDocument/2006/relationships/hyperlink" Target="https://www.fruityllama.co.uk/case-studies/saas-startup" TargetMode="External"/><Relationship Id="rId12" Type="http://schemas.openxmlformats.org/officeDocument/2006/relationships/hyperlink" Target="https://www.ctocaio.com/case-studies/advisory-cto-saas-scaleup" TargetMode="External"/><Relationship Id="rId13" Type="http://schemas.openxmlformats.org/officeDocument/2006/relationships/hyperlink" Target="https://uk.insight.com/en_GB/content-and-resources/2023/case-studies/nhs-trust-optimises-cloud-spend-to-save-100k-annually.html" TargetMode="External"/><Relationship Id="rId14" Type="http://schemas.openxmlformats.org/officeDocument/2006/relationships/hyperlink" Target="https://www.efficioconsulting.com/en-gb/resources/case-studies/16-gross-margin-improvement-how-a-saas-provider-increased-its-profitability-through-cloud-cost-optimisation/" TargetMode="External"/><Relationship Id="rId15" Type="http://schemas.openxmlformats.org/officeDocument/2006/relationships/hyperlink" Target="https://www.squared.io/case-studies/zenithuk-three" TargetMode="External"/><Relationship Id="rId16" Type="http://schemas.openxmlformats.org/officeDocument/2006/relationships/hyperlink" Target="https://liftlab.com/case-studies/saas-company-experiments-with-google-branded-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