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technology vendors must harness data-driven marketing to secure early buyer consideration in a rising IT spend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 technology vendors seeking growth must align marketing and product strategies with a market that is shifting rapidly toward higher-value, data-driven solutions. Industry forecasts point to modest but meaningful expansion in B2B technology spending next year, while global IT budgets swell around transformative investments in AI, cloud and infrastructure. That combination heightens the premium on marketing that proves return on investment and secures early consideration from retail buyers.</w:t>
      </w:r>
      <w:r/>
    </w:p>
    <w:p>
      <w:r/>
      <w:r>
        <w:t>According to Circana, the U.S. B2B technology reseller market is expected to expand by about 3% in 2026 after a stronger 4% rise in 2025, supported by rising average selling prices and a tilt toward premium offerings. That outlook is consistent with broader forecasts of accelerating IT expenditure: Gartner projects global IT spending will top $6 trillion in 2026, driven by data centre systems, software and AI infrastructure, and other market analyses point to double‑digit increases in software budgets across Europe as organisations adopt generative AI and related platforms. Those macro trends mean retail buyers will have greater purchasing power but also higher expectations for measurable impact from any new system.</w:t>
      </w:r>
      <w:r/>
    </w:p>
    <w:p>
      <w:r/>
      <w:r>
        <w:t>For vendors, the commercial imperative is clear: deliver demonstrable business outcomes and make those outcomes visible early in the buying cycle. Research from 6sense underscores this reality by showing that the vendor who ultimately wins a deal is almost always present on the buyer’s initial shortlist; 95% of winners are on that “day one” list. Marketing therefore cannot be an afterthought in the sales motion-it must create the first impression, nurture credibility and remain visible throughout the research phase so that sales teams inherit warm, familiar prospects rather than cold leads.</w:t>
      </w:r>
      <w:r/>
    </w:p>
    <w:p>
      <w:r/>
      <w:r>
        <w:t>Practical planning begins with tightly focused media and content strategies. Marketing plans should map spend, timing and channels to the precise locations where retail executives conduct research and talk shop. Depth of presence on a few high-value platforms typically outperforms scattergun activity across many channels. Testing and iteration matter: creative concepts, messaging and formats must be rapidly validated against engagement and conversion metrics so teams can concentrate resources where they work best.</w:t>
      </w:r>
      <w:r/>
    </w:p>
    <w:p>
      <w:r/>
      <w:r>
        <w:t>Content remains the engine that moves prospects from curiosity to commitment. Data cited in the lead material shows digital assets often serve as the de facto salesperson; third-party research suggests a majority of B2B buyers rely heavily on online content when making final decisions. To be effective, content must be practical, evidence-based and tailored to the roles involved in a purchase. That means producing a range of assets that speak to the entire buying committee: concise pricing sheets and implementation guides for technical stakeholders; case studies and ROI analyses for operations and finance leaders; and targeted demos that reflect the particular challenges of grocery, apparel or specialty retail sub-sectors.</w:t>
      </w:r>
      <w:r/>
    </w:p>
    <w:p>
      <w:r/>
      <w:r>
        <w:t>Creating decision-enabling content is not easy: industry surveys find more than half of content marketers struggle to produce materials that genuinely assist purchase decisions. Overcoming that barrier requires disciplined research with customers, collaboration between product and marketing, and investment in formats that prove outcomes rather than assert them. Case studies should quantify improvements in inventory accuracy, labour savings or shrink reduction; implementation guides must set realistic timelines and resource expectations; demos should show the system solving a retailer’s specific workflows in-context.</w:t>
      </w:r>
      <w:r/>
    </w:p>
    <w:p>
      <w:r/>
      <w:r>
        <w:t>Social proof and professional networks amplify credibility during the evaluation phase. Research indicates a large majority of prospective buyers consult social media when vetting B2B suppliers, so ignoring those platforms risks disappearing from consideration. Regularly publishing customer results, partner endorsements and practitioner perspectives on professional networks keeps a brand front of mind and creates referral opportunities that can shortcut procurement cycles.</w:t>
      </w:r>
      <w:r/>
    </w:p>
    <w:p>
      <w:r/>
      <w:r>
        <w:t>Personalisation has moved from nice-to-have to a core expectation. Analysts predict AI-driven marketing capabilities will be embedded across B2B operations by 2026, enabling more sophisticated segmentation, predictive engagement and tailored content delivery. Vendors that harness these tools to craft messages and demonstrations that mirror a prospect’s store formats, SKU complexity and integration constraints will convert at higher rates. However, this requires sound data governance, investment in analytics and a test-and-learn mentality to ensure personalisation adds relevance rather than noise.</w:t>
      </w:r>
      <w:r/>
    </w:p>
    <w:p>
      <w:r/>
      <w:r>
        <w:t>Finally, vendors must maintain commercial realism: retailers increasingly demand evidence of payback and fast time-to-value. Marketing and product teams should collaborate to produce transparent ROI models and deployment roadmaps that reduce perceived risk. Where companies make public claims about capabilities or client outcomes, editorial distance is appropriate-such assertions should be framed as the company’s position unless independently verified.</w:t>
      </w:r>
      <w:r/>
    </w:p>
    <w:p>
      <w:r/>
      <w:r>
        <w:t>In a market where overall tech budgets are growing and buyer scrutiny is intensifying, retail tech vendors that combine disciplined, data-backed marketing with clear proof of business impact will be best positioned to earn early shortlist status and win deals.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https://retailtechinnovationhub.com/home/2026/3/9/the-ultimate-guide-to-b2b-marketing-for-retail-tech-vendors</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https://www.globenewswire.com/news-release/2026/03/03/3248527/0/en/B2B-Technology-Market-Forecast-to-Grow-3-in-2026-Following-Positive-Close-to-2025-Reports-Circana.html</w:t>
        </w:r>
      </w:hyperlink>
      <w:r>
        <w:t xml:space="preserve"> - Circana forecasts a 3% growth in the U.S. B2B technology reseller market in 2026, following a 4% increase in 2025, driven by higher average selling prices and a premium product mix. This growth is supported by a robust PC refresh cycle and increased technology investments across enterprise, mid-size, and small business segments.</w:t>
      </w:r>
      <w:r/>
    </w:p>
    <w:p>
      <w:pPr>
        <w:pStyle w:val="ListNumber"/>
        <w:spacing w:line="240" w:lineRule="auto"/>
        <w:ind w:left="720"/>
      </w:pPr>
      <w:r/>
      <w:hyperlink r:id="rId12">
        <w:r>
          <w:rPr>
            <w:color w:val="0000EE"/>
            <w:u w:val="single"/>
          </w:rPr>
          <w:t>https://6sense.com/science-of-b2b/getting-to-yes-why-vendors-win-and-how-buying-groups-agree/</w:t>
        </w:r>
      </w:hyperlink>
      <w:r>
        <w:t xml:space="preserve"> - Research by 6sense indicates that 95% of winning vendors are on the buyer's day one shortlist. This underscores the importance of early engagement and consistent visibility during the research phase to secure a spot on the shortlist and build trust before the formal RFP process begins.</w:t>
      </w:r>
      <w:r/>
    </w:p>
    <w:p>
      <w:pPr>
        <w:pStyle w:val="ListNumber"/>
        <w:spacing w:line="240" w:lineRule="auto"/>
        <w:ind w:left="720"/>
      </w:pPr>
      <w:r/>
      <w:hyperlink r:id="rId13">
        <w:r>
          <w:rPr>
            <w:color w:val="0000EE"/>
            <w:u w:val="single"/>
          </w:rPr>
          <w:t>https://www.sagefrog.com/blog/top-8-b2b-tech-marketing-trends-to-watch-in-2026/</w:t>
        </w:r>
      </w:hyperlink>
      <w:r>
        <w:t xml:space="preserve"> - Sagefrog highlights that by 2026, AI will be integral to B2B tech marketing, with companies embedding AI across operations such as campaign creation, predictive analytics, and personalized content. This shift towards 'autonomous marketing' emphasizes the need for continuous learning and adaptation to stay competitive.</w:t>
      </w:r>
      <w:r/>
    </w:p>
    <w:p>
      <w:pPr>
        <w:pStyle w:val="ListNumber"/>
        <w:spacing w:line="240" w:lineRule="auto"/>
        <w:ind w:left="720"/>
      </w:pPr>
      <w:r/>
      <w:hyperlink r:id="rId14">
        <w:r>
          <w:rPr>
            <w:color w:val="0000EE"/>
            <w:u w:val="single"/>
          </w:rPr>
          <w:t>https://www.itpro.com/business/global-it-spending-set-to-exceed-usd6-trillion-in-2026</w:t>
        </w:r>
      </w:hyperlink>
      <w:r>
        <w:t xml:space="preserve"> - Gartner projects global IT spending to surpass $6 trillion in 2026, marking a 9.8% increase from 2025. This growth is driven by significant investments in data center systems, software, and AI infrastructure, reflecting a strong recovery from previous market uncertainties.</w:t>
      </w:r>
      <w:r/>
    </w:p>
    <w:p>
      <w:pPr>
        <w:pStyle w:val="ListNumber"/>
        <w:spacing w:line="240" w:lineRule="auto"/>
        <w:ind w:left="720"/>
      </w:pPr>
      <w:r/>
      <w:hyperlink r:id="rId15">
        <w:r>
          <w:rPr>
            <w:color w:val="0000EE"/>
            <w:u w:val="single"/>
          </w:rPr>
          <w:t>https://www.itpro.com/software/european-software-spending-is-set-to-surge-in-2026-heres-why</w:t>
        </w:r>
      </w:hyperlink>
      <w:r>
        <w:t xml:space="preserve"> - European software spending is expected to rise by 15.6% in 2026, reaching over $335 billion. This surge is attributed to enterprises integrating new AI technologies, despite challenges in realizing expected returns, indicating a bullish market outlook and evolving IT strategies.</w:t>
      </w:r>
      <w:r/>
    </w:p>
    <w:p>
      <w:pPr>
        <w:pStyle w:val="ListNumber"/>
        <w:spacing w:line="240" w:lineRule="auto"/>
        <w:ind w:left="720"/>
      </w:pPr>
      <w:r/>
      <w:hyperlink r:id="rId16">
        <w:r>
          <w:rPr>
            <w:color w:val="0000EE"/>
            <w:u w:val="single"/>
          </w:rPr>
          <w:t>https://www.itpro.com/business/business-strategy/global-tech-spending-is-skyrocketing-and-european-firms-are-doubling-down-on-investment</w:t>
        </w:r>
      </w:hyperlink>
      <w:r>
        <w:t xml:space="preserve"> - Global technology spending is projected to reach $6.15 trillion in 2026, a 10.8% increase from 2025, driven by AI, cloud services, and cybersecurity investments. European firms are notably increasing their tech budgets, with significant investments in defense, financial services, healthcare, and retail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echinnovationhub.com/home/2026/3/9/the-ultimate-guide-to-b2b-marketing-for-retail-tech-vendors" TargetMode="External"/><Relationship Id="rId11" Type="http://schemas.openxmlformats.org/officeDocument/2006/relationships/hyperlink" Target="https://www.globenewswire.com/news-release/2026/03/03/3248527/0/en/B2B-Technology-Market-Forecast-to-Grow-3-in-2026-Following-Positive-Close-to-2025-Reports-Circana.html" TargetMode="External"/><Relationship Id="rId12" Type="http://schemas.openxmlformats.org/officeDocument/2006/relationships/hyperlink" Target="https://6sense.com/science-of-b2b/getting-to-yes-why-vendors-win-and-how-buying-groups-agree/" TargetMode="External"/><Relationship Id="rId13" Type="http://schemas.openxmlformats.org/officeDocument/2006/relationships/hyperlink" Target="https://www.sagefrog.com/blog/top-8-b2b-tech-marketing-trends-to-watch-in-2026/" TargetMode="External"/><Relationship Id="rId14" Type="http://schemas.openxmlformats.org/officeDocument/2006/relationships/hyperlink" Target="https://www.itpro.com/business/global-it-spending-set-to-exceed-usd6-trillion-in-2026" TargetMode="External"/><Relationship Id="rId15" Type="http://schemas.openxmlformats.org/officeDocument/2006/relationships/hyperlink" Target="https://www.itpro.com/software/european-software-spending-is-set-to-surge-in-2026-heres-why" TargetMode="External"/><Relationship Id="rId16" Type="http://schemas.openxmlformats.org/officeDocument/2006/relationships/hyperlink" Target="https://www.itpro.com/business/business-strategy/global-tech-spending-is-skyrocketing-and-european-firms-are-doubling-down-on-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