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SMEs gain competitive edge by focusing on strategic digital priorities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High streets have been recast by years of digital change so that for many consumers the smartphone is now the first port of call for shopping. That shift has multiplied the array of online services available to small and medium-sized enterprises, from listing and advertising platforms to inventory systems, analytics and delivery partners. The promise is greater reach and efficiency, but the sheer choice can be paralysing for owners whose time and resources are limited.</w:t>
      </w:r>
      <w:r/>
    </w:p>
    <w:p>
      <w:r/>
      <w:r>
        <w:t>Building an effective digital stack is therefore a strategic decision, not a checklist exercise. Rather than attempting to adopt every new platform, successful local businesses focus on a small set of capabilities that extend what makes them distinctive: visibility, a frictionless purchase path, reliable fulfilment and ongoing customer engagement. These four priorities, being found, converting interest into sales, delivering reliably, and nurturing repeat business, form a practical blueprint for deploying tools where they will most affect the bottom line.</w:t>
      </w:r>
      <w:r/>
    </w:p>
    <w:p>
      <w:r/>
      <w:r>
        <w:t>Discoverability means more than listing products widely; it requires joining the places customers already search and ensuring local relevance. Third-party marketplaces, local delivery apps and social channels can do part of the acquisition work for merchants, particularly when platforms actively surface nearby businesses. Conversion demands removing obstacles at the point of sale through clear product information, simple checkout flows, click-and-collect options and promotional placements that appear where buyers decide to purchase.</w:t>
      </w:r>
      <w:r/>
    </w:p>
    <w:p>
      <w:r/>
      <w:r>
        <w:t>Fulfilment remains a decisive differentiator. Partnering with on-demand logistics providers or using integrated courier services lets SMEs offer rapid, reliable delivery without building an expensive infrastructure. Relationship-building then converts first-time buyers into regulars: automated messaging, basic loyalty programmes, reorder alerts and targeted promotions will generally deliver higher lifetime value than one-off visibility plays.</w:t>
      </w:r>
      <w:r/>
    </w:p>
    <w:p>
      <w:r/>
      <w:r>
        <w:t>European evidence shows that the potential is substantial but uneven. According to a Eurofound report, digital adoption among EU SMEs affects competitiveness and resilience, yet many firms still lack the infrastructure, finance and skills needed to make full use of digital tools. The OECD echoes this, warning that awareness, internal capability and funding constraints keep smaller businesses behind larger rivals despite the clear opportunities digitalisation offers for productivity and innovation.</w:t>
      </w:r>
      <w:r/>
    </w:p>
    <w:p>
      <w:r/>
      <w:r>
        <w:t>Official EU monitoring highlights the scale of the gap. Eurostat’s Digitalisation 2025 overview sets out ambitious 2030 targets, including more than 90% of SMEs achieving a basic level of digital intensity and wide use of cloud, big data and AI, yet current adoption rates fall well short of those goals. Media reporting on the data notes significant national disparities and that only a minority of firms have reached the EU’s baseline digital standard.</w:t>
      </w:r>
      <w:r/>
    </w:p>
    <w:p>
      <w:r/>
      <w:r>
        <w:t>Skills and investment shortfalls recur across studies. Research synthesised by Cedefop and Eurofound finds the uptake of tools varies by sector and country, with businesses serving local or traditional markets often less incentivised to digitalise. Academic analysis of pandemic-era data further links stronger IT adoption to improved firm performance, suggesting that modest, targeted investments can yield measurable financial returns.</w:t>
      </w:r>
      <w:r/>
    </w:p>
    <w:p>
      <w:r/>
      <w:r>
        <w:t>Policymakers and platforms both have roles to play. National and EU measures to subsidise training, improve broadband and offer tailored advisory services are already part of the policy mix, according to Eurofound and Cedefop. At the same time, platforms that simplify onboarding for local merchants and bundle discovery, payment and delivery functions can materially reduce the time SMEs need to spend learning and integrating multiple services.</w:t>
      </w:r>
      <w:r/>
    </w:p>
    <w:p>
      <w:r/>
      <w:r>
        <w:t>For practitioners the practical takeaway is straightforward: focus investment on a compact stack that maps directly to customer journeys, visibility, seamless purchase, dependable delivery and retention, and choose partners that reduce operational complexity. Incremental change, aligned to clear commercial objectives and supported by skills development, is more likely to produce sustainable gains than chasing every new tool.</w:t>
      </w:r>
      <w:r/>
    </w:p>
    <w:p>
      <w:r/>
      <w:r>
        <w:t>If governments and industry get the supporting framework right, and SMEs prioritise the most impactful capabilities, digitalisation can be a means of preserving the local advantages of proximity and community while giving businesses the operational efficiency and reach once available only to larger firms. The challenge for owners is not adopting everything at once but assembling the right combination that amplifies what they already do well.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https://entrepreneurhandbook.co.uk/too-many-tools-too-little-time-optimise-your-smes-digital-stack/</w:t>
        </w:r>
      </w:hyperlink>
      <w:r>
        <w:t xml:space="preserve"> - Please view link - unable to able to access data</w:t>
      </w:r>
      <w:r/>
    </w:p>
    <w:p>
      <w:pPr>
        <w:pStyle w:val="ListNumber"/>
        <w:spacing w:line="240" w:lineRule="auto"/>
        <w:ind w:left="720"/>
      </w:pPr>
      <w:r/>
      <w:hyperlink r:id="rId11">
        <w:r>
          <w:rPr>
            <w:color w:val="0000EE"/>
            <w:u w:val="single"/>
          </w:rPr>
          <w:t>https://www.eurofound.europa.eu/en/publications/all/sme-digitalisation-eu-trends-policies-and-impacts</w:t>
        </w:r>
      </w:hyperlink>
      <w:r>
        <w:t xml:space="preserve"> - This Eurofound report examines the digital transformation of small and medium-sized enterprises (SMEs) in the European Union, highlighting its importance for competitiveness and the EU economy. It explores the degree of digitalisation in SMEs, including the adoption of digital technologies, e-commerce, and e-business practices. The report also examines the impact of the COVID-19 pandemic on SMEs’ digitalisation and identifies key challenges, such as lack of infrastructure, financing, and digital skills. Additionally, it reviews policy frameworks and support measures related to digitalisation and the development of digital skills in SMEs.</w:t>
      </w:r>
      <w:r/>
    </w:p>
    <w:p>
      <w:pPr>
        <w:pStyle w:val="ListNumber"/>
        <w:spacing w:line="240" w:lineRule="auto"/>
        <w:ind w:left="720"/>
      </w:pPr>
      <w:r/>
      <w:hyperlink r:id="rId12">
        <w:r>
          <w:rPr>
            <w:color w:val="0000EE"/>
            <w:u w:val="single"/>
          </w:rPr>
          <w:t>https://www.oecd.org/en/topics/digitalisation-of-smes</w:t>
        </w:r>
      </w:hyperlink>
      <w:r>
        <w:t xml:space="preserve"> - The OECD discusses how digitalisation offers opportunities for SMEs to improve performance, spur innovation, enhance productivity, and compete on a more even footing with larger firms. However, it notes that smaller businesses continue to lag in digital transformation due to low awareness, insufficient internal resources, skill deficiencies, and financial limitations. The OECD emphasizes that SME digitalisation represents a main policy priority for governments.</w:t>
      </w:r>
      <w:r/>
    </w:p>
    <w:p>
      <w:pPr>
        <w:pStyle w:val="ListNumber"/>
        <w:spacing w:line="240" w:lineRule="auto"/>
        <w:ind w:left="720"/>
      </w:pPr>
      <w:r/>
      <w:hyperlink r:id="rId13">
        <w:r>
          <w:rPr>
            <w:color w:val="0000EE"/>
            <w:u w:val="single"/>
          </w:rPr>
          <w:t>https://ec.europa.eu/eurostat/web/interactive-publications/digitalisation-2025</w:t>
        </w:r>
      </w:hyperlink>
      <w:r>
        <w:t xml:space="preserve"> - Eurostat's interactive publication provides insights into the digitalisation of businesses in Europe, focusing on the uptake of digital technologies. It highlights the EU's goals for 2030, including having more than 90% of SMEs reach at least a basic level of digital intensity and 75% of EU companies using cloud computing services, performing big data analysis, or using artificial intelligence. The publication presents data on the digital intensity of businesses, monitoring the use of various digital technologies.</w:t>
      </w:r>
      <w:r/>
    </w:p>
    <w:p>
      <w:pPr>
        <w:pStyle w:val="ListNumber"/>
        <w:spacing w:line="240" w:lineRule="auto"/>
        <w:ind w:left="720"/>
      </w:pPr>
      <w:r/>
      <w:hyperlink r:id="rId14">
        <w:r>
          <w:rPr>
            <w:color w:val="0000EE"/>
            <w:u w:val="single"/>
          </w:rPr>
          <w:t>https://www.cedefop.europa.eu/en/news/how-europes-smes-are-navigating-digital-transition</w:t>
        </w:r>
      </w:hyperlink>
      <w:r>
        <w:t xml:space="preserve"> - Cedefop and Eurofound present new evidence on how SMEs across Europe are adopting digital tools, highlighting uneven uptake and persistent gaps in skills and investment. The study reviews national and EU policy measures supporting this transition and showcases initiatives that have achieved concrete results. It emphasizes the importance of skills in SMEs' digital journey and identifies persistent barriers slowing the pace of change, such as limited incentives for firms serving local or traditional markets.</w:t>
      </w:r>
      <w:r/>
    </w:p>
    <w:p>
      <w:pPr>
        <w:pStyle w:val="ListNumber"/>
        <w:spacing w:line="240" w:lineRule="auto"/>
        <w:ind w:left="720"/>
      </w:pPr>
      <w:r/>
      <w:hyperlink r:id="rId15">
        <w:r>
          <w:rPr>
            <w:color w:val="0000EE"/>
            <w:u w:val="single"/>
          </w:rPr>
          <w:t>https://www.euronews.com/my-europe/2024/11/14/eu-smes-well-behind-on-digitalisation-eurostat-report-finds</w:t>
        </w:r>
      </w:hyperlink>
      <w:r>
        <w:t xml:space="preserve"> - Euronews reports on a Eurostat study revealing that only 58% of EU small and medium enterprises have reached a basic level of digital services, significantly behind the EU Commission's 2030 goal of 90%. The article discusses the Digital Intensity Index (DII) used by the EU to measure a business's level of digitalisation and highlights disparities among EU countries in digital intensity levels.</w:t>
      </w:r>
      <w:r/>
    </w:p>
    <w:p>
      <w:pPr>
        <w:pStyle w:val="ListNumber"/>
        <w:spacing w:line="240" w:lineRule="auto"/>
        <w:ind w:left="720"/>
      </w:pPr>
      <w:r/>
      <w:hyperlink r:id="rId16">
        <w:r>
          <w:rPr>
            <w:color w:val="0000EE"/>
            <w:u w:val="single"/>
          </w:rPr>
          <w:t>https://www.mdpi.com/2071-1050/15/13/9973</w:t>
        </w:r>
      </w:hyperlink>
      <w:r>
        <w:t xml:space="preserve"> - This study explores the relationship between digitalisation and business performance in European SMEs amidst the COVID-19 pandemic. It investigates the impact of digitalisation on SME performance, employing econometric analysis of panel data to examine the influence of digitalisation on SME performance and validate the formulated hypotheses. The study identifies IT as a key factor affecting financial performance through digitalisation.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trepreneurhandbook.co.uk/too-many-tools-too-little-time-optimise-your-smes-digital-stack/" TargetMode="External"/><Relationship Id="rId11" Type="http://schemas.openxmlformats.org/officeDocument/2006/relationships/hyperlink" Target="https://www.eurofound.europa.eu/en/publications/all/sme-digitalisation-eu-trends-policies-and-impacts" TargetMode="External"/><Relationship Id="rId12" Type="http://schemas.openxmlformats.org/officeDocument/2006/relationships/hyperlink" Target="https://www.oecd.org/en/topics/digitalisation-of-smes" TargetMode="External"/><Relationship Id="rId13" Type="http://schemas.openxmlformats.org/officeDocument/2006/relationships/hyperlink" Target="https://ec.europa.eu/eurostat/web/interactive-publications/digitalisation-2025" TargetMode="External"/><Relationship Id="rId14" Type="http://schemas.openxmlformats.org/officeDocument/2006/relationships/hyperlink" Target="https://www.cedefop.europa.eu/en/news/how-europes-smes-are-navigating-digital-transition" TargetMode="External"/><Relationship Id="rId15" Type="http://schemas.openxmlformats.org/officeDocument/2006/relationships/hyperlink" Target="https://www.euronews.com/my-europe/2024/11/14/eu-smes-well-behind-on-digitalisation-eurostat-report-finds" TargetMode="External"/><Relationship Id="rId16" Type="http://schemas.openxmlformats.org/officeDocument/2006/relationships/hyperlink" Target="https://www.mdpi.com/2071-1050/15/13/99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