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embraces technology to enhance trade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Canada is strategically implementing technology-driven initiatives designed to enhance its economic standing while addressing challenges arising from foreign tariffs. The country is embracing several innovative approaches, including the use of artificial intelligence (AI) and blockchain technology, to facilitate more effective supplier relationship management (SRM) and reshape global trade dynamics.</w:t>
      </w:r>
      <w:r/>
    </w:p>
    <w:p>
      <w:r/>
      <w:r>
        <w:t xml:space="preserve">Central to this transformation is the deployment of </w:t>
      </w:r>
      <w:r>
        <w:rPr>
          <w:b/>
        </w:rPr>
        <w:t>AI algorithms</w:t>
      </w:r>
      <w:r>
        <w:t>, which are being utilised to analyse unstructured global trade data. This groundbreaking initiative provides real-time insights that allow businesses and policymakers to identify potential adverse impacts of tariffs and adjust their strategies accordingly. By leveraging these predictive capabilities, Canada aims to bolster the resilience of its internal market and better equip decision-makers in crafting strategic trade responses. As the National Post highlights, this AI-driven trade intelligence not only strengthens existing supplier relationships but also opens channels for developing new partnerships in a rapidly changing trade landscape.</w:t>
      </w:r>
      <w:r/>
    </w:p>
    <w:p>
      <w:r/>
      <w:r>
        <w:t xml:space="preserve">In addition to AI, Canada's exploration of </w:t>
      </w:r>
      <w:r>
        <w:rPr>
          <w:b/>
        </w:rPr>
        <w:t>blockchain technology</w:t>
      </w:r>
      <w:r>
        <w:t xml:space="preserve"> represents a significant shift towards enhancing transparency within trade documentation and negotiations. The government is investigating how blockchain can provide secure, immutable records that increase trust in the trade process. This innovation is set to streamline documentation, reduce administrative costs, and redefine tariff negotiations. By improving the clarity and efficiency of supplier interactions, Canada could potentially mitigate disputes and foster stronger business relationships within the supply chain, as noted by The Globe and Mail.</w:t>
      </w:r>
      <w:r/>
    </w:p>
    <w:p>
      <w:r/>
      <w:r>
        <w:t xml:space="preserve">Investment in </w:t>
      </w:r>
      <w:r>
        <w:rPr>
          <w:b/>
        </w:rPr>
        <w:t>green technologies</w:t>
      </w:r>
      <w:r>
        <w:t xml:space="preserve"> further positions Canada to assert its influence in global trade discussions. Substantial capital is being allocated to renewable energy and eco-friendly innovations, enabling Canada to leverage its leadership in sustainability efforts during trade negotiations. This approach not only counters traditional tariff barriers but also aligns with global environmental initiatives, potentially resulting in tariff exemptions and other incentives. By integrating sustainable practices into its SRM strategies, Canada enhances its negotiating power and attractiveness as a trading partner, as reported by Financial Post.</w:t>
      </w:r>
      <w:r/>
    </w:p>
    <w:p>
      <w:r/>
      <w:r>
        <w:t xml:space="preserve">Altogether, these technological advancements signal Canada's shift from a historically passive role in North American trade agreements to a more assertive, forward-thinking posture. The strategic use of AI, blockchain, and investments in green technologies signify a comprehensive response to foreign tariff pressures and a concerted effort to modernise trade practices. As these initiatives gain traction, Canada’s economic landscape may evolve dramatically, influencing global trade relations in unprecedented ways. </w:t>
      </w:r>
      <w:r/>
    </w:p>
    <w:p>
      <w:r/>
      <w:r>
        <w:t>For more detailed insights into Canada’s innovative trade approaches and the potential implications for supplier relationships, the Government of Canada provides ongoing updates and resources on its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https://www.pm.gc.ca/en/news/news-releases/2024/04/07/securing-canadas-ai</w:t>
        </w:r>
      </w:hyperlink>
      <w:r>
        <w:t xml:space="preserve"> - This URL supports the claim about Canada's strategic investment in AI technologies to enhance its economic standing and trade dynamics. It highlights a significant investment package to secure Canada's AI advantage.</w:t>
      </w:r>
      <w:r/>
    </w:p>
    <w:p>
      <w:pPr>
        <w:pStyle w:val="ListNumber"/>
        <w:spacing w:line="240" w:lineRule="auto"/>
        <w:ind w:left="720"/>
      </w:pPr>
      <w:r/>
      <w:hyperlink r:id="rId11">
        <w:r>
          <w:rPr>
            <w:color w:val="0000EE"/>
            <w:u w:val="single"/>
          </w:rPr>
          <w:t>https://www.cgai.ca/unblocking_the_bottlenecks_and_making_the_global_supply_chain_transparent_how_blockchain_technology_can_update_global_trade</w:t>
        </w:r>
      </w:hyperlink>
      <w:r>
        <w:t xml:space="preserve"> - This URL corroborates the use of blockchain technology in enhancing transparency and efficiency in global trade. It discusses how blockchain can improve supply chain management and trade documentation.</w:t>
      </w:r>
      <w:r/>
    </w:p>
    <w:p>
      <w:pPr>
        <w:pStyle w:val="ListNumber"/>
        <w:spacing w:line="240" w:lineRule="auto"/>
        <w:ind w:left="720"/>
      </w:pPr>
      <w:r/>
      <w:hyperlink r:id="rId12">
        <w:r>
          <w:rPr>
            <w:color w:val="0000EE"/>
            <w:u w:val="single"/>
          </w:rPr>
          <w:t>https://sciencepolicy.ca/posts/blockchain-a-pillar-for-canadas-future-innovation/</w:t>
        </w:r>
      </w:hyperlink>
      <w:r>
        <w:t xml:space="preserve"> - This URL further supports the exploration of blockchain technology in Canada, emphasizing its potential for innovation and the need for a national strategy to maximize its impact.</w:t>
      </w:r>
      <w:r/>
    </w:p>
    <w:p>
      <w:pPr>
        <w:pStyle w:val="ListNumber"/>
        <w:spacing w:line="240" w:lineRule="auto"/>
        <w:ind w:left="720"/>
      </w:pPr>
      <w:r/>
      <w:hyperlink r:id="rId13">
        <w:r>
          <w:rPr>
            <w:color w:val="0000EE"/>
            <w:u w:val="single"/>
          </w:rPr>
          <w:t>https://www.nrcan.gc.ca/our-natural-resources/energy-sources/clean-energy/2030-2050-clean-growth-scenarios/23451</w:t>
        </w:r>
      </w:hyperlink>
      <w:r>
        <w:t xml:space="preserve"> - This URL provides insights into Canada's investment in green technologies, aligning with its efforts to assert influence in global trade discussions through sustainable practices.</w:t>
      </w:r>
      <w:r/>
    </w:p>
    <w:p>
      <w:pPr>
        <w:pStyle w:val="ListNumber"/>
        <w:spacing w:line="240" w:lineRule="auto"/>
        <w:ind w:left="720"/>
      </w:pPr>
      <w:r/>
      <w:hyperlink r:id="rId14">
        <w:r>
          <w:rPr>
            <w:color w:val="0000EE"/>
            <w:u w:val="single"/>
          </w:rPr>
          <w:t>https://www.canada.ca/en/department-finance/news/2023/03/canada-announces-renewed-funding-for-the-global-innovation-clusters.html</w:t>
        </w:r>
      </w:hyperlink>
      <w:r>
        <w:t xml:space="preserve"> - This URL supports the claim about Canada's strategic investments in innovation, including AI and supply chain management, which are crucial for enhancing trade dynamics.</w:t>
      </w:r>
      <w:r/>
    </w:p>
    <w:p>
      <w:pPr>
        <w:pStyle w:val="ListNumber"/>
        <w:spacing w:line="240" w:lineRule="auto"/>
        <w:ind w:left="720"/>
      </w:pPr>
      <w:r/>
      <w:hyperlink r:id="rId15">
        <w:r>
          <w:rPr>
            <w:color w:val="0000EE"/>
            <w:u w:val="single"/>
          </w:rPr>
          <w:t>https://www.international.gc.ca/trade-commerce/trade-agreements-accords-commerciaux/index.aspx?lang=eng</w:t>
        </w:r>
      </w:hyperlink>
      <w:r>
        <w:t xml:space="preserve"> - This URL provides information on Canada's trade agreements and strategies, which are being modernized through technological advancements like AI and blockchain to address foreign tariff challenges.</w:t>
      </w:r>
      <w:r/>
    </w:p>
    <w:p>
      <w:pPr>
        <w:pStyle w:val="ListNumber"/>
        <w:spacing w:line="240" w:lineRule="auto"/>
        <w:ind w:left="720"/>
      </w:pPr>
      <w:r/>
      <w:hyperlink r:id="rId16">
        <w:r>
          <w:rPr>
            <w:color w:val="0000EE"/>
            <w:u w:val="single"/>
          </w:rPr>
          <w:t>https://news.google.com/rss/articles/CBMiuAFBVV95cUxOM3FGeHJ6SlhLYmRGZEcxaWRWMDNkOHRDaEZ5dGh2cXRyemhvbkxjNUotR2l2bkpTVzg5akJqMk5yYVo1YVM0OURrcE43UlJKWGxDN01ZVGZPUERtVUg1QXdHMkJaQjdETmVHQ1IwYk5rcGFNUXlScGtubW1ZZUVkcDRBNlRHNkRUUjdMNEVXU0w3S20tbXQ2V0s5SFJIek90X1M4WDA5dG1HZVdRcGxZS1lBWmRRUjB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m.gc.ca/en/news/news-releases/2024/04/07/securing-canadas-ai" TargetMode="External"/><Relationship Id="rId11" Type="http://schemas.openxmlformats.org/officeDocument/2006/relationships/hyperlink" Target="https://www.cgai.ca/unblocking_the_bottlenecks_and_making_the_global_supply_chain_transparent_how_blockchain_technology_can_update_global_trade" TargetMode="External"/><Relationship Id="rId12" Type="http://schemas.openxmlformats.org/officeDocument/2006/relationships/hyperlink" Target="https://sciencepolicy.ca/posts/blockchain-a-pillar-for-canadas-future-innovation/" TargetMode="External"/><Relationship Id="rId13" Type="http://schemas.openxmlformats.org/officeDocument/2006/relationships/hyperlink" Target="https://www.nrcan.gc.ca/our-natural-resources/energy-sources/clean-energy/2030-2050-clean-growth-scenarios/23451" TargetMode="External"/><Relationship Id="rId14" Type="http://schemas.openxmlformats.org/officeDocument/2006/relationships/hyperlink" Target="https://www.canada.ca/en/department-finance/news/2023/03/canada-announces-renewed-funding-for-the-global-innovation-clusters.html" TargetMode="External"/><Relationship Id="rId15" Type="http://schemas.openxmlformats.org/officeDocument/2006/relationships/hyperlink" Target="https://www.international.gc.ca/trade-commerce/trade-agreements-accords-commerciaux/index.aspx?lang=eng" TargetMode="External"/><Relationship Id="rId16" Type="http://schemas.openxmlformats.org/officeDocument/2006/relationships/hyperlink" Target="https://news.google.com/rss/articles/CBMiuAFBVV95cUxOM3FGeHJ6SlhLYmRGZEcxaWRWMDNkOHRDaEZ5dGh2cXRyemhvbkxjNUotR2l2bkpTVzg5akJqMk5yYVo1YVM0OURrcE43UlJKWGxDN01ZVGZPUERtVUg1QXdHMkJaQjdETmVHQ1IwYk5rcGFNUXlScGtubW1ZZUVkcDRBNlRHNkRUUjdMNEVXU0w3S20tbXQ2V0s5SFJIek90X1M4WDA5dG1HZVdRcGxZS1lBWmRRUjB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