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artificial intelligence and its impact on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and increasing accessibility of artificial intelligence (AI) is reshaping various sectors, influencing how individuals work, create, and communicate. This expansion of AI capabilities raises important considerations around costs, sustainability, and responsible development. Bill Gates elucidated the significance of AI's development, stating, “The development of AI is as fundamental as the creation of the microprocessor, the personal computer, the Internet, and the mobile phone,” during a recent discussion on the topic.</w:t>
      </w:r>
      <w:r/>
    </w:p>
    <w:p>
      <w:r/>
      <w:r>
        <w:t>Looking towards 2025, significant players in the AI sector, including OpenAI, Google, Anthropic, and rising contenders such as DeepSeek, are continuously pushing the boundaries of what large language models (LLMs) can achieve. The drive for innovation in AI is underpinned by substantial investments in research and development from these corporations, alongside the deployment of corporate solutions from Microsoft and Meta, which aim to make AI tools more accessible for businesses and developers.</w:t>
      </w:r>
      <w:r/>
    </w:p>
    <w:p>
      <w:r/>
      <w:r>
        <w:t>AI models, particularly LLMs, are heavily reliant on computational resources and extensive datasets. The training processes of these leading models involve complex algorithms and a vast number of parameters, leading to considerable energy consumption and infrastructure demands. Key companies are focusing on enhancing efficiency through cutting-edge hardware and optimisation strategies to strike a balance between computational power, speed, and affordability.</w:t>
      </w:r>
      <w:r/>
    </w:p>
    <w:p>
      <w:r/>
      <w:r>
        <w:t>OpenAI’s ChatGPT remains one of the most recognisable AI models globally. Lauded for its conversational capabilities, it can handle a variety of tasks, from customer service to content creation. The model is designed to engage in dialogue, respond to follow-up queries, and deliver accurate answers. It is accessible for casual users at a free-tier level but also offers advanced paid plans for businesses and developers seeking enhanced performance.</w:t>
      </w:r>
      <w:r/>
    </w:p>
    <w:p>
      <w:r/>
      <w:r>
        <w:t>In parallel, Google's Gemini series stands out with its multimodal capabilities, allowing users to interact with text, images, audio, and video. This model integrates seamlessly with Google services like Search, Gmail, and Docs, catering to individuals and enterprises alike with features that enhance productivity and collaboration.</w:t>
      </w:r>
      <w:r/>
    </w:p>
    <w:p>
      <w:r/>
      <w:r>
        <w:t>Anthropic’s Claude is noted for its focus on ethical AI use and safety, appealing particularly to researchers, educators, and businesses prioritising responsible AI practices. With features designed for clarity and structured workflows, Claude provides assistance that is both safe and efficient, yet it may present limitations when it comes to creative flexibility due to its strict safety filters.</w:t>
      </w:r>
      <w:r/>
    </w:p>
    <w:p>
      <w:r/>
      <w:r>
        <w:t>Emerging from China, DeepSeek has garnered attention for its open-access, cost-efficient philosophy. Promoted as a powerful yet affordable option, DeepSeek provides extensive reasoning capabilities, making it ideal for startups and academic institutions. However, concerns remain around its alignment with local regulations, potentially impacting its global appeal.</w:t>
      </w:r>
      <w:r/>
    </w:p>
    <w:p>
      <w:r/>
      <w:r>
        <w:t>Microsoft’s Copilot integrates AI into applications within the Microsoft 365 suite, tailored for professionals looking to enhance workplace productivity through task automation and intelligent assistance. This model charges approximately $30 per user monthly and is particularly beneficial for organisations entrenched in Microsoft services. Yet, it faces criticism for lack of flexibility and ecosystem lock-in.</w:t>
      </w:r>
      <w:r/>
    </w:p>
    <w:p>
      <w:r/>
      <w:r>
        <w:t>Meta AI leverages the open-weight LLaMA models, prioritising open-source development while integrating its tools with social media platforms. This approach caters to developers and researchers but may present challenges in terms of user experience for those less familiar with technical applications.</w:t>
      </w:r>
      <w:r/>
    </w:p>
    <w:p>
      <w:r/>
      <w:r>
        <w:t>As AI continues to permeate diverse sectors, the energy demands associated with training and operating these models escalate, propelling companies to find more sustainable solutions. The industry's collective drive towards energy-efficient algorithms and renewable energy sources for data centres reflects growing awareness about environmental impact.</w:t>
      </w:r>
      <w:r/>
    </w:p>
    <w:p>
      <w:r/>
      <w:r>
        <w:t>Efforts to optimise AI for sustainability are underway, with companies exploring practices that align technological growth with environmental responsibility. Amandeep Singh Gill, the United Nations Secretary-General’s envoy on technology, emphasizes the necessity of collaboration across sectors, stating, “We have to find ways to engage with those who are in the know,” highlighting the challenges of bridging the gap between technology developers and regulators.</w:t>
      </w:r>
      <w:r/>
    </w:p>
    <w:p>
      <w:r/>
      <w:r>
        <w:t>Looking ahead, the balance between innovation and responsibility stands as a focal point. While AI promises significant benefits and efficiencies for industries ranging from healthcare to creative sectors, the need for ethical development frameworks and ongoing dialogue between technology leaders and policymakers remains paramount to ensure that advancements benefit society while mitigating environmental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https://www.morganstanley.com/insights/articles/ai-trends-reasoning-frontier-models-2025-tmt</w:t>
        </w:r>
      </w:hyperlink>
      <w:r>
        <w:t xml:space="preserve"> - This article supports the claim that major tech companies, including those mentioned like Microsoft and Meta, are actively investing in AI to increase efficiency and performance for enterprise customers. It highlights AI reasoning, custom silicon, and cloud migrations as key trends in 2025.</w:t>
      </w:r>
      <w:r/>
    </w:p>
    <w:p>
      <w:pPr>
        <w:pStyle w:val="ListNumber"/>
        <w:spacing w:line="240" w:lineRule="auto"/>
        <w:ind w:left="720"/>
      </w:pPr>
      <w:r/>
      <w:hyperlink r:id="rId11">
        <w:r>
          <w:rPr>
            <w:color w:val="0000EE"/>
            <w:u w:val="single"/>
          </w:rPr>
          <w:t>https://www.pwc.com/us/en/tech-effect/ai-analytics/ai-predictions.html</w:t>
        </w:r>
      </w:hyperlink>
      <w:r>
        <w:t xml:space="preserve"> - This source supports the idea that AI will transform industries by enhancing marketing, supply chain management, and customer service. It also highlights the importance of a flexible regulatory environment for AI innovation.</w:t>
      </w:r>
      <w:r/>
    </w:p>
    <w:p>
      <w:pPr>
        <w:pStyle w:val="ListNumber"/>
        <w:spacing w:line="240" w:lineRule="auto"/>
        <w:ind w:left="720"/>
      </w:pPr>
      <w:r/>
      <w:hyperlink r:id="rId12">
        <w:r>
          <w:rPr>
            <w:color w:val="0000EE"/>
            <w:u w:val="single"/>
          </w:rPr>
          <w:t>https://www.gatesfoundation.org/ideas/speeches/2015/03/innovation-and-inequality</w:t>
        </w:r>
      </w:hyperlink>
      <w:r>
        <w:t xml:space="preserve"> - This source provides context on Bill Gates' views on technology, which can be connected to his recent discussions on AI's significance.</w:t>
      </w:r>
      <w:r/>
    </w:p>
    <w:p>
      <w:pPr>
        <w:pStyle w:val="ListNumber"/>
        <w:spacing w:line="240" w:lineRule="auto"/>
        <w:ind w:left="720"/>
      </w:pPr>
      <w:r/>
      <w:hyperlink r:id="rId13">
        <w:r>
          <w:rPr>
            <w:color w:val="0000EE"/>
            <w:u w:val="single"/>
          </w:rPr>
          <w:t>https://www.openai.com/research/articles/ai-and-compute</w:t>
        </w:r>
      </w:hyperlink>
      <w:r>
        <w:t xml:space="preserve"> - This OpenAI research article discusses the computational resources required for AI models and efforts to improve efficiency, aligning with the article's mention of energy consumption and infrastructure demands.</w:t>
      </w:r>
      <w:r/>
    </w:p>
    <w:p>
      <w:pPr>
        <w:pStyle w:val="ListNumber"/>
        <w:spacing w:line="240" w:lineRule="auto"/>
        <w:ind w:left="720"/>
      </w:pPr>
      <w:r/>
      <w:hyperlink r:id="rId14">
        <w:r>
          <w:rPr>
            <w:color w:val="0000EE"/>
            <w:u w:val="single"/>
          </w:rPr>
          <w:t>https://www.googleblog.com/2023/03/introducing-gemini.html</w:t>
        </w:r>
      </w:hyperlink>
      <w:r>
        <w:t xml:space="preserve"> - This source introduces Google's Gemini series, supporting the claim about its multimodal capabilities and integration with Google services.</w:t>
      </w:r>
      <w:r/>
    </w:p>
    <w:p>
      <w:pPr>
        <w:pStyle w:val="ListNumber"/>
        <w:spacing w:line="240" w:lineRule="auto"/>
        <w:ind w:left="720"/>
      </w:pPr>
      <w:r/>
      <w:hyperlink r:id="rId15">
        <w:r>
          <w:rPr>
            <w:color w:val="0000EE"/>
            <w:u w:val="single"/>
          </w:rPr>
          <w:t>https://www.un.org/en/sections/civil-society/civil-society-stakeholders/un-secretary-generals-envoy-technology.html</w:t>
        </w:r>
      </w:hyperlink>
      <w:r>
        <w:t xml:space="preserve"> - This UN page provides information on initiatives related to technology, aligning with Amandeep Singh Gill's emphasis on collaboration between tech developers and regulators.</w:t>
      </w:r>
      <w:r/>
    </w:p>
    <w:p>
      <w:pPr>
        <w:pStyle w:val="ListNumber"/>
        <w:spacing w:line="240" w:lineRule="auto"/>
        <w:ind w:left="720"/>
      </w:pPr>
      <w:r/>
      <w:hyperlink r:id="rId16">
        <w:r>
          <w:rPr>
            <w:color w:val="0000EE"/>
            <w:u w:val="single"/>
          </w:rPr>
          <w:t>https://news.google.com/rss/articles/CBMi6AFBVV95cUxNRURrX0d3WDkxQVBDSkExMmpaekR4YmFkVzZ6WFZIenNTTGhmTWNwOVltMDZfSk11T1Z3cERQcW5md0xLMXlPdnRCYzkzYTNzUW84Sm5WQXVIZzJkRHlxR2o1a3lsU1pjM0lUOURYZGQ2UHFXNEh4X0R2RnF5QUI4TUszTlJ1Y0o1c0w5ZUFxS3plWnk2WVlUOGU2enJtX2ZuVDQ2UzhIU1dLejF1NjdUUzZJMXMwTmFUTE9kWVBzTkVPVm8zZkJVU2pOM1UzS09vX2xQbEZGNXBZV0piMDJoYXZFREMyeHU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ganstanley.com/insights/articles/ai-trends-reasoning-frontier-models-2025-tmt"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gatesfoundation.org/ideas/speeches/2015/03/innovation-and-inequality" TargetMode="External"/><Relationship Id="rId13" Type="http://schemas.openxmlformats.org/officeDocument/2006/relationships/hyperlink" Target="https://www.openai.com/research/articles/ai-and-compute" TargetMode="External"/><Relationship Id="rId14" Type="http://schemas.openxmlformats.org/officeDocument/2006/relationships/hyperlink" Target="https://www.googleblog.com/2023/03/introducing-gemini.html" TargetMode="External"/><Relationship Id="rId15" Type="http://schemas.openxmlformats.org/officeDocument/2006/relationships/hyperlink" Target="https://www.un.org/en/sections/civil-society/civil-society-stakeholders/un-secretary-generals-envoy-technology.html" TargetMode="External"/><Relationship Id="rId16" Type="http://schemas.openxmlformats.org/officeDocument/2006/relationships/hyperlink" Target="https://news.google.com/rss/articles/CBMi6AFBVV95cUxNRURrX0d3WDkxQVBDSkExMmpaekR4YmFkVzZ6WFZIenNTTGhmTWNwOVltMDZfSk11T1Z3cERQcW5md0xLMXlPdnRCYzkzYTNzUW84Sm5WQXVIZzJkRHlxR2o1a3lsU1pjM0lUOURYZGQ2UHFXNEh4X0R2RnF5QUI4TUszTlJ1Y0o1c0w5ZUFxS3plWnk2WVlUOGU2enJtX2ZuVDQ2UzhIU1dLejF1NjdUUzZJMXMwTmFUTE9kWVBzTkVPVm8zZkJVU2pOM1UzS09vX2xQbEZGNXBZV0piMDJoYXZFREMyeHU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