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unveils hybrid AI tools aiming to build one billion new enterprise apps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its annual THINK event, IBM introduced a comprehensive suite of hybrid AI technologies intended to expedite the integration of Generative AI (Gen AI) within enterprises. The company's ambitious vision anticipates the emergence of over one billion new applications by 2028, and to facilitate this, IBM is providing essential integration and orchestration tools for building, deploying, and scaling AI agents in multifaceted IT environments.</w:t>
      </w:r>
      <w:r/>
    </w:p>
    <w:p>
      <w:r/>
      <w:r>
        <w:t>A recent study by IBM's CEO revealed a striking expectation among business leaders: investments in AI are projected to more than double within the next two years. Despite this optimism, only 25% of current AI initiatives have realised their anticipated return on investment. This shortfall is primarily attributed to fragmented and disconnected technologies, a challenge that IBM seeks to address through its hybrid cloud infrastructure, the watsonx AI platform, and consulting services.</w:t>
      </w:r>
      <w:r/>
    </w:p>
    <w:p>
      <w:r/>
      <w:r>
        <w:t>Among the significant advancements announced is the enhanced watsonx Orchestrate, which enables businesses to create AI agents in less than five minutes, employing tools that require no coding expertise. These AI agents are designed to function seamlessly across a vast array of over 80 enterprise applications, including leading platforms from Microsoft, Adobe, Salesforce, Oracle, AWS, and ServiceNow. Additionally, the introduction of an Agent Catalog within watsonx Orchestrate includes over 150 pre-built agents co-developed with partners such as MasterCard and Box, reflecting a robust ecosystem aimed at accelerating AI integration in business systems.</w:t>
      </w:r>
      <w:r/>
    </w:p>
    <w:p>
      <w:r/>
      <w:r>
        <w:t>To further dynamise AI deployment, IBM unveiled webMethods Hybrid Integration, a next-generation automation solution that facilitates cohesive management of applications, APIs, files, and partner integrations across both cloud and on-premises systems. According to an independent Forrester TEI study, this approach is projected to yield a remarkable 176% return on investment over three years, alongside significant efficiency gains in project execution and reduced downtime.</w:t>
      </w:r>
      <w:r/>
    </w:p>
    <w:p>
      <w:r/>
      <w:r>
        <w:t>Another area IBM is keen to address is the management of unstructured data, often viewed as a bottleneck in AI workflows. The latest update to watsonx.data merges an open data lakehouse with advanced governance and data fabric capabilities, enabling AI applications to effectively leverage diverse data types, from contracts to spreadsheets. Early evaluations indicate that this method can enhance AI accuracy by as much as 40% compared to traditional retrieval-augmented generation techniques.</w:t>
      </w:r>
      <w:r/>
    </w:p>
    <w:p>
      <w:r/>
      <w:r>
        <w:t xml:space="preserve">Recognising the substantial computational demands associated with Gen AI, IBM has also introduced the IBM LinuxONE 5, its most powerful and secure Linux platform. This new infrastructure is capable of managing up to 450 billion AI inference operations daily and is bolstered by advanced AI accelerators, including the IBM Telum II chip. Additionally, IBM asserts that users can expect total cost savings of up to 44% over five years relative to comparable x86 systems. </w:t>
      </w:r>
      <w:r/>
    </w:p>
    <w:p>
      <w:r/>
      <w:r>
        <w:t xml:space="preserve">In a strategic move to enhance its capabilities, IBM revealed expanded partnerships with tech giants including AMD, Intel, CoreWeave, and NVIDIA, aiming to deliver superior compute and storage solutions tailored to manage AI-intensive workloads. </w:t>
      </w:r>
      <w:r/>
    </w:p>
    <w:p>
      <w:r/>
      <w:r>
        <w:t>With these advancements, IBM positions itself as a frontrunner in the enterprise AI space, signalling the transition from experimental AI initiatives to definitive, production-grade outcomes. As businesses look to navigate the complexities of generative AI adoption, IBM's innovative tools and strategies promise to simplify and enhance the process, ultimately driving measurable benefits across industries.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https://www.bobreyes.com/ibm-unveils-hybrid-ai-innovations-to-accelerate-enterprise-generative-ai-adoption/</w:t>
        </w:r>
      </w:hyperlink>
      <w:r>
        <w:t xml:space="preserve"> - Please view link - unable to able to access data</w:t>
      </w:r>
      <w:r/>
    </w:p>
    <w:p>
      <w:pPr>
        <w:pStyle w:val="ListNumber"/>
        <w:spacing w:line="240" w:lineRule="auto"/>
        <w:ind w:left="720"/>
      </w:pPr>
      <w:r/>
      <w:hyperlink r:id="rId11">
        <w:r>
          <w:rPr>
            <w:color w:val="0000EE"/>
            <w:u w:val="single"/>
          </w:rPr>
          <w:t>https://www.ibm.com/products/watsonx-orchestrate</w:t>
        </w:r>
      </w:hyperlink>
      <w:r>
        <w:t xml:space="preserve"> - IBM's watsonx Orchestrate is a platform that enables businesses to create AI agents in under five minutes using no-code to pro-code tools. These agents can operate seamlessly across more than 80 enterprise applications, including those from Microsoft, Adobe, Salesforce, Oracle, AWS, and ServiceNow. The platform also features an Agent Catalog with over 150 pre-built agents and tools co-developed with partners like MasterCard, Box, Oracle, Symplistic.ai, and 11x, facilitating rapid deployment and integration of AI agents into existing business systems.</w:t>
      </w:r>
      <w:r/>
    </w:p>
    <w:p>
      <w:pPr>
        <w:pStyle w:val="ListNumber"/>
        <w:spacing w:line="240" w:lineRule="auto"/>
        <w:ind w:left="720"/>
      </w:pPr>
      <w:r/>
      <w:hyperlink r:id="rId12">
        <w:r>
          <w:rPr>
            <w:color w:val="0000EE"/>
            <w:u w:val="single"/>
          </w:rPr>
          <w:t>https://www.ibm.com/products/watsonx-orchestrate/ai-agents</w:t>
        </w:r>
      </w:hyperlink>
      <w:r>
        <w:t xml:space="preserve"> - IBM watsonx Agents are pre-built, customizable AI agents designed to automate and accelerate business workflows. Built on deep enterprise logic and powered by domain-specific language models, these agents can handle tasks such as identifying top talent, qualifying sales leads, and managing service requests. They integrate with existing enterprise applications and can be deployed quickly, enabling businesses to enhance productivity and operational efficiency through AI-driven automation.</w:t>
      </w:r>
      <w:r/>
    </w:p>
    <w:p>
      <w:pPr>
        <w:pStyle w:val="ListNumber"/>
        <w:spacing w:line="240" w:lineRule="auto"/>
        <w:ind w:left="720"/>
      </w:pPr>
      <w:r/>
      <w:hyperlink r:id="rId13">
        <w:r>
          <w:rPr>
            <w:color w:val="0000EE"/>
            <w:u w:val="single"/>
          </w:rPr>
          <w:t>https://www.ibm.com/products/blog/enterprise-generative-ai-made-simple</w:t>
        </w:r>
      </w:hyperlink>
      <w:r>
        <w:t xml:space="preserve"> - IBM's approach to delivering enterprise-grade foundation models focuses on providing trusted, high-performing, and cost-effective generative AI products and solutions. The strategy includes opening access to best-in-class IBM and proven open-source or third-party models through the IBM watsonx foundation models library, ensuring models are trained on trusted and governed data, and designing models optimized for targeted business domains and use cases. This approach aims to empower clients with enterprise-grade multimodal and multilingual model options tailored to their specific business needs and risk profiles.</w:t>
      </w:r>
      <w:r/>
    </w:p>
    <w:p>
      <w:pPr>
        <w:pStyle w:val="ListNumber"/>
        <w:spacing w:line="240" w:lineRule="auto"/>
        <w:ind w:left="720"/>
      </w:pPr>
      <w:r/>
      <w:hyperlink r:id="rId10">
        <w:r>
          <w:rPr>
            <w:color w:val="0000EE"/>
            <w:u w:val="single"/>
          </w:rPr>
          <w:t>https://www.ibm.com/thought-leadership/institute-business-value/en-us/report/enterprise-generative-ai</w:t>
        </w:r>
      </w:hyperlink>
      <w:r>
        <w:t xml:space="preserve"> - The IBM Institute for Business Value (IBV) report on enterprise generative AI provides insights into how businesses can harness the power of generative AI. It highlights that 64% of CEOs face significant pressure from investors, creditors, and lenders to accelerate adoption of generative AI. The report also discusses the cautious approach executives are taking, focusing on specific use cases and applications that drive the most value, and identifies key priorities for generative AI adoption in organizations.</w:t>
      </w:r>
      <w:r/>
    </w:p>
    <w:p>
      <w:pPr>
        <w:pStyle w:val="ListNumber"/>
        <w:spacing w:line="240" w:lineRule="auto"/>
        <w:ind w:left="720"/>
      </w:pPr>
      <w:r/>
      <w:hyperlink r:id="rId14">
        <w:r>
          <w:rPr>
            <w:color w:val="0000EE"/>
            <w:u w:val="single"/>
          </w:rPr>
          <w:t>https://www.ibm.com/think/insights/hybrid-cloud-generative-ai-insights</w:t>
        </w:r>
      </w:hyperlink>
      <w:r>
        <w:t xml:space="preserve"> - IBM's 'Cloud Transformation Report' reveals that many leading enterprises share a common foundation to digital transformation—a clear hybrid cloud strategy. The report found that 68% of hybrid cloud adopters have already established formal, organization-wide policies to direct their approach to generative AI. It emphasizes the importance of a hybrid cloud approach in unlocking the power of generative AI, enabling increased agility and flexibility in AI workflows.</w:t>
      </w:r>
      <w:r/>
    </w:p>
    <w:p>
      <w:pPr>
        <w:pStyle w:val="ListNumber"/>
        <w:spacing w:line="240" w:lineRule="auto"/>
        <w:ind w:left="720"/>
      </w:pPr>
      <w:r/>
      <w:hyperlink r:id="rId12">
        <w:r>
          <w:rPr>
            <w:color w:val="0000EE"/>
            <w:u w:val="single"/>
          </w:rPr>
          <w:t>https://www.ibm.com/products/watsonx-orchestrate/ai-agents</w:t>
        </w:r>
      </w:hyperlink>
      <w:r>
        <w:t xml:space="preserve"> - IBM watsonx Agents are pre-built, customizable AI agents designed to automate and accelerate business workflows. Built on deep enterprise logic and powered by domain-specific language models, these agents can handle tasks such as identifying top talent, qualifying sales leads, and managing service requests. They integrate with existing enterprise applications and can be deployed quickly, enabling businesses to enhance productivity and operational efficiency through AI-driven automation.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breyes.com/ibm-unveils-hybrid-ai-innovations-to-accelerate-enterprise-generative-ai-adoption/" TargetMode="External"/><Relationship Id="rId10" Type="http://schemas.openxmlformats.org/officeDocument/2006/relationships/hyperlink" Target="https://www.ibm.com/thought-leadership/institute-business-value/en-us/report/enterprise-generative-ai" TargetMode="External"/><Relationship Id="rId11" Type="http://schemas.openxmlformats.org/officeDocument/2006/relationships/hyperlink" Target="https://www.ibm.com/products/watsonx-orchestrate" TargetMode="External"/><Relationship Id="rId12" Type="http://schemas.openxmlformats.org/officeDocument/2006/relationships/hyperlink" Target="https://www.ibm.com/products/watsonx-orchestrate/ai-agents" TargetMode="External"/><Relationship Id="rId13" Type="http://schemas.openxmlformats.org/officeDocument/2006/relationships/hyperlink" Target="https://www.ibm.com/products/blog/enterprise-generative-ai-made-simple" TargetMode="External"/><Relationship Id="rId14" Type="http://schemas.openxmlformats.org/officeDocument/2006/relationships/hyperlink" Target="https://www.ibm.com/think/insights/hybrid-cloud-generative-ai-insigh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