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Gulf CEOs urged to turn generative AI pilots into governed, data‑first RAG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AI has vaulted from experimental labs into executive agendas across the Gulf, but the difference between demonstrator projects and durable competitive advantage is proving to be organisational rather than purely technical. A recent commentary in Gulf Business by the MD Gulf at Dell Technologies argues that regional chief executives and technology leaders must drive a move from generic large language model (LLM) deployments to Retrieval‑Augmented Generation (RAG) and the emerging class of “agentic RAG” systems — architectures that link model reasoning to an organisation’s live data and, increasingly, to autonomous action. While the promise is real, independent research and industry guidance suggest the shift demands new data foundations, tighter governance and a board‑level mandate.</w:t>
      </w:r>
      <w:r/>
    </w:p>
    <w:p>
      <w:r/>
      <w:r>
        <w:t>Why LLMs alone are not enough LLMs offer impressive pattern‑matching and natural language fluency, but their training on static corpora leaves them vulnerable to factual drift and fabrication. A 2024 academic study formalises this problem, arguing that hallucination is an inherent limitation of models trained on finite, static datasets: retrieval and grounding reduce such errors but cannot eradicate them entirely. That theoretical baseline matters for regulated and fast‑moving sectors in the Middle East, where outdated or invented outputs can carry compliance, reputational and financial consequences.</w:t>
      </w:r>
      <w:r/>
    </w:p>
    <w:p>
      <w:r/>
      <w:r>
        <w:t>Cloud providers and platform vendors reach a similar practical conclusion. An industry explainer from a major cloud vendor sets out the RAG pipeline — converting enterprise content into embeddings, retrieving relevant passages and augmenting prompts to ground model outputs — and stresses that RAG reduces the need for costly continual re‑training while improving domain specificity and source attribution. In short, grounding is a pragmatic mitigation rather than a silver bullet.</w:t>
      </w:r>
      <w:r/>
    </w:p>
    <w:p>
      <w:r/>
      <w:r>
        <w:t>What RAG brings to the enterprise RAG connects LLMs to an organisation’s proprietary, dynamic data: product catalogues, contracts, regulatory texts, operational logs and local market intelligence. That connection both raises answer quality and allows teams to keep models current without retraining core model weights. Market forecasts confirm the commercial appetite for that capability: industry research estimates the global RAG market at roughly USD 1.2 billion in 2024 and projects expansion to around USD 67 billion by 2034, implying a near‑50% compound annual growth rate driven by enterprise demand for contextual accuracy.</w:t>
      </w:r>
      <w:r/>
    </w:p>
    <w:p>
      <w:r/>
      <w:r>
        <w:t>For Gulf firms, the benefit is not only better answers but the ability to embed regional nuance — language, legal regimes, commercial practice — into model behaviour. Yet the hard part is turning improved outputs into measurable business outcomes: only a minority of organisations globally are yet capturing material value from GenAI initiatives.</w:t>
      </w:r>
      <w:r/>
    </w:p>
    <w:p>
      <w:r/>
      <w:r>
        <w:t>A governance and capability gap A November 2024 report by McKinsey found rapid interest and investment in generative AI across GCC firms but warned that relatively few companies have translated that interest into substantial business value. The consultancies’ analysis highlights a cohort of “value realisers” that reshaped processes, governance and talent to scale GenAI beyond pilots. That prescription aligns with the Gulf Business column’s central point: CXOs cannot delegate this to IT alone.</w:t>
      </w:r>
      <w:r/>
    </w:p>
    <w:p>
      <w:r/>
      <w:r>
        <w:t>The regulatory backdrop in the region reinforces the need for careful design. Saudi Arabia’s Personal Data Protection Law — enacted by royal decree and implemented through 2023–24 amendments — imposes obligations on controllers and processors, touches on cross‑border transfers, breach reporting and data subject rights, and encourages appointment of data protection officers. As several Middle Eastern governments elaborate national AI strategies and data‑privacy frameworks, enterprises must design RAG systems with privacy, access controls and auditability at the core.</w:t>
      </w:r>
      <w:r/>
    </w:p>
    <w:p>
      <w:r/>
      <w:r>
        <w:t>Agentic RAG: from grounded answers to autonomous work The next step beyond retrieval is agentic RAG: systems that not only fetch and synthesise information but can plan, invoke tools and execute multi‑step workflows. A technology team at a major cloud provider describes agentic architectures as combining iterative evaluation, self‑refinement loops and dynamic tool selection so assistants can, for example, adjust supply chain schedules, process entitlement changes or triage complex support cases with limited human intervention.</w:t>
      </w:r>
      <w:r/>
    </w:p>
    <w:p>
      <w:r/>
      <w:r>
        <w:t>That capability promises a material productivity uplift, but it also multiplies risk. Autonomy requires explicit accountability frameworks, transparent decision trails and human‑in‑the‑loop fail‑safes. The Gulf Business piece underlines the new ethical and governance questions agentic systems raise; independent vendor guidance likewise stresses rigorous evaluation and integration testing before production deployment.</w:t>
      </w:r>
      <w:r/>
    </w:p>
    <w:p>
      <w:r/>
      <w:r>
        <w:t>A practical playbook for regional leaders Taken together, the evidence points to a short list of priorities for CXOs who want to move from experiments to scaled advantage:</w:t>
      </w:r>
      <w:r/>
      <w:r/>
    </w:p>
    <w:p>
      <w:pPr>
        <w:pStyle w:val="ListBullet"/>
        <w:spacing w:line="240" w:lineRule="auto"/>
        <w:ind w:left="720"/>
      </w:pPr>
      <w:r/>
      <w:r>
        <w:t>Build a unified data and infrastructure foundation. Invest in cloud‑native, privacy‑first architectures that break down silos and make enterprise knowledge discoverable and auditable. Industry guides show that preparing clean, well‑governed data stores is a prerequisite for reliable retrieval and attribution.</w:t>
      </w:r>
      <w:r/>
    </w:p>
    <w:p>
      <w:pPr>
        <w:pStyle w:val="ListBullet"/>
        <w:spacing w:line="240" w:lineRule="auto"/>
        <w:ind w:left="720"/>
      </w:pPr>
      <w:r/>
      <w:r>
        <w:t>Make governance non‑negotiable from day one. Define accountability, logging and escalation policies for agentic behaviours; require human oversight for high‑risk decisions; and ensure technical capability to produce source citations and audit trails that meet local regulatory requirements.</w:t>
      </w:r>
      <w:r/>
    </w:p>
    <w:p>
      <w:pPr>
        <w:pStyle w:val="ListBullet"/>
        <w:spacing w:line="240" w:lineRule="auto"/>
        <w:ind w:left="720"/>
      </w:pPr>
      <w:r/>
      <w:r>
        <w:t>Anchor AI projects in business outcomes. Start pilots in high‑value, bounded domains — customer service escalation, contract review, supply chain adjustments — and measure decision latency, error rates, compliance outcomes and return on investment rather than technical benchmarks alone.</w:t>
      </w:r>
      <w:r/>
    </w:p>
    <w:p>
      <w:pPr>
        <w:pStyle w:val="ListBullet"/>
        <w:spacing w:line="240" w:lineRule="auto"/>
        <w:ind w:left="720"/>
      </w:pPr>
      <w:r/>
      <w:r>
        <w:t>Rewire processes and upskill people. McKinsey’s analysis shows that “value realisers” combine process redesign with targeted reskilling. Organisations should develop roles that translate business needs into retrieval strategies and monitor deployed agents’ behaviour over time.</w:t>
      </w:r>
      <w:r/>
    </w:p>
    <w:p>
      <w:pPr>
        <w:pStyle w:val="ListBullet"/>
        <w:spacing w:line="240" w:lineRule="auto"/>
        <w:ind w:left="720"/>
      </w:pPr>
      <w:r/>
      <w:r>
        <w:t>Treat autonomy cautiously. Agentic systems require extensive scenario testing, kill switches, and governance playbooks before they act without human sign‑off. Design for graceful degradation and clear human accountability.</w:t>
      </w:r>
      <w:r/>
      <w:r/>
    </w:p>
    <w:p>
      <w:r/>
      <w:r>
        <w:t>Editorial perspective The Gulf Business commentary presses an urgent point: in a region where national AI plans and data laws are evolving rapidly, leadership matters. The technical artefacts — embeddings, retrievers, tools and models — are important, but the harder work is organisational: data plumbing, governance frameworks and talent pathways. Independent research and vendor guidance corroborate that RAG and agentic RAG materially raise the ceiling of what GenAI can do, yet they also underscore that grounding mitigates, but does not remove, model error and that autonomy amplifies governance needs.</w:t>
      </w:r>
      <w:r/>
    </w:p>
    <w:p>
      <w:r/>
      <w:r>
        <w:t>For Middle East CXOs, the decision is strategic. Treating GenAI as an IT project risks producing novel but brittle point solutions. Framing it as a business transformation — with clear KPIs, legal compliance baked in, and executive sponsorship — increases the odds that investment in RAG will deliver measurable value rather than a parade of expensive demos. The opportunity is substantial; the path to capture it is organisational.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https://gulfbusiness.com/why-regional-cxos-must-lead-genai-transformation/</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https://www.mckinsey.com/capabilities/quantumblack/our-insights/the-state-of-gen-ai-in-the-middle-easts-gcc-countries-a-2024-report-card</w:t>
        </w:r>
      </w:hyperlink>
      <w:r>
        <w:t xml:space="preserve"> - This November 2024 McKinsey report examines adoption of generative AI across GCC countries, based on executive surveys and interviews. It finds rapid interest and investment in GenAI among Middle East organisations, but few are yet realising substantial business value; a small group of 'value realisers' lead in outcomes by rewiring processes and governance. The paper quantifies potential economic impact for the region, highlights sectoral opportunities, and stresses that leaders must embed responsible-AI practices, data and talent strategies, and robust change management to capture GenAI returns. The analysis underlines GenAI as a boardroom priority in the Gulf.</w:t>
      </w:r>
      <w:r/>
    </w:p>
    <w:p>
      <w:pPr>
        <w:pStyle w:val="ListNumber"/>
        <w:spacing w:line="240" w:lineRule="auto"/>
        <w:ind w:left="720"/>
      </w:pPr>
      <w:r/>
      <w:hyperlink r:id="rId12">
        <w:r>
          <w:rPr>
            <w:color w:val="0000EE"/>
            <w:u w:val="single"/>
          </w:rPr>
          <w:t>https://arxiv.org/abs/2401.11817</w:t>
        </w:r>
      </w:hyperlink>
      <w:r>
        <w:t xml:space="preserve"> - This 2024 academic paper formalises hallucination as an inherent limitation of large language models and argues that, under realistic theoretical assumptions, hallucination cannot be completely eliminated. The authors model LLMs and ground-truth functions, proving that models trained on finite data and constrained by computability and time cannot guarantee perfect factual accuracy across all tasks. They survey mitigation techniques and evaluate practical implications, concluding that retrieval and grounding strategies reduce but do not eradicate hallucinations. The paper provides rigorous foundations for why LLMs trained on static datasets can produce incorrect or fabricated outputs, informing enterprise risk assessments.</w:t>
      </w:r>
      <w:r/>
    </w:p>
    <w:p>
      <w:pPr>
        <w:pStyle w:val="ListNumber"/>
        <w:spacing w:line="240" w:lineRule="auto"/>
        <w:ind w:left="720"/>
      </w:pPr>
      <w:r/>
      <w:hyperlink r:id="rId13">
        <w:r>
          <w:rPr>
            <w:color w:val="0000EE"/>
            <w:u w:val="single"/>
          </w:rPr>
          <w:t>https://aws.amazon.com/what-is/retrieval-augmented-generation/</w:t>
        </w:r>
      </w:hyperlink>
      <w:r>
        <w:t xml:space="preserve"> - This Amazon Web Services explainer defines Retrieval-Augmented Generation (RAG) and describes how it augments large language models with external knowledge sources to produce more accurate, up‑to‑date, and domain‑specific answers. The page explains the RAG pipeline — creating external data, converting to embeddings, retrieving relevant documents, and augmenting prompts for the LLM — and highlights benefits such as cost‑effectiveness versus continual re‑training, reduced hallucinations, source attribution and improved trust. AWS also notes practical considerations for maintaining freshness of sources, governance and access controls, and shows why enterprises use RAG to connect models to proprietary, regulated or dynamic data.</w:t>
      </w:r>
      <w:r/>
    </w:p>
    <w:p>
      <w:pPr>
        <w:pStyle w:val="ListNumber"/>
        <w:spacing w:line="240" w:lineRule="auto"/>
        <w:ind w:left="720"/>
      </w:pPr>
      <w:r/>
      <w:hyperlink r:id="rId14">
        <w:r>
          <w:rPr>
            <w:color w:val="0000EE"/>
            <w:u w:val="single"/>
          </w:rPr>
          <w:t>https://www.precedenceresearch.com/retrieval-augmented-generation-market</w:t>
        </w:r>
      </w:hyperlink>
      <w:r>
        <w:t xml:space="preserve"> - This market research page provides a revenue forecast for the global Retrieval Augmented Generation market, reporting an estimated market size of roughly USD 1.24 billion in 2024 and projecting growth to about USD 67.42 billion by 2034, with a near‑50% compound annual growth rate. The analysis highlights drivers such as enterprise demand for contextual accuracy, limitations of standalone LLMs, and cloud adoption, while noting regional adoption trends and sector use cases like healthcare and customer support. It summarises segmentation, deployment models and implementation challenges, offering a commercial validation for aggressive market expansion in RAG technologies over the coming decade.</w:t>
      </w:r>
      <w:r/>
    </w:p>
    <w:p>
      <w:pPr>
        <w:pStyle w:val="ListNumber"/>
        <w:spacing w:line="240" w:lineRule="auto"/>
        <w:ind w:left="720"/>
      </w:pPr>
      <w:r/>
      <w:hyperlink r:id="rId15">
        <w:r>
          <w:rPr>
            <w:color w:val="0000EE"/>
            <w:u w:val="single"/>
          </w:rPr>
          <w:t>https://techcommunity.microsoft.com/blog/azure-ai-services-blog/bonus-rag-time-journey-agentic-rag/4404652</w:t>
        </w:r>
      </w:hyperlink>
      <w:r>
        <w:t xml:space="preserve"> - This Microsoft Azure blog post discusses the evolution from standard RAG to 'agentic RAG', explaining how agentic designs embed autonomous agent behaviours into retrieval pipelines. The article outlines characteristics such as iterative evaluation, self‑refinement loops, dynamic tool selection and multi‑step workflows, enabling systems not only to fetch information but to plan and execute actions against enterprise systems. Microsoft demonstrates example flows (query rewriting, retrieval, answer generation) and contrasts static RAG with agentic approaches that can orchestrate complex tasks, improve reliability and support real‑world automation while emphasising the need for governance, evaluation and tool integration in production deployments.</w:t>
      </w:r>
      <w:r/>
    </w:p>
    <w:p>
      <w:pPr>
        <w:pStyle w:val="ListNumber"/>
        <w:spacing w:line="240" w:lineRule="auto"/>
        <w:ind w:left="720"/>
      </w:pPr>
      <w:r/>
      <w:hyperlink r:id="rId16">
        <w:r>
          <w:rPr>
            <w:color w:val="0000EE"/>
            <w:u w:val="single"/>
          </w:rPr>
          <w:t>https://www.dataguidance.com/advisories/saudi-arabia-pdpl</w:t>
        </w:r>
      </w:hyperlink>
      <w:r>
        <w:t xml:space="preserve"> - This advisory summarises Saudi Arabia’s Personal Data Protection Law (PDPL), enacted by Royal Decree in 2021 and amended before entering into force in 2023–2024. It explains the law’s scope, principal obligations for controllers and processors, rights for data subjects, and regulatory timelines including the implementation and compliance grace periods. The guide details the PDPL’s alignment and differences with international regimes such as the GDPR, issues on cross‑border transfers, data breach notification, appointing data protection officers and penalties for non‑compliance. The resource illustrates how Middle Eastern jurisdictions are advancing data protection frameworks that directly affect enterprise AI governance and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lfbusiness.com/why-regional-cxos-must-lead-genai-transformation/" TargetMode="External"/><Relationship Id="rId11" Type="http://schemas.openxmlformats.org/officeDocument/2006/relationships/hyperlink" Target="https://www.mckinsey.com/capabilities/quantumblack/our-insights/the-state-of-gen-ai-in-the-middle-easts-gcc-countries-a-2024-report-card" TargetMode="External"/><Relationship Id="rId12" Type="http://schemas.openxmlformats.org/officeDocument/2006/relationships/hyperlink" Target="https://arxiv.org/abs/2401.11817" TargetMode="External"/><Relationship Id="rId13" Type="http://schemas.openxmlformats.org/officeDocument/2006/relationships/hyperlink" Target="https://aws.amazon.com/what-is/retrieval-augmented-generation/" TargetMode="External"/><Relationship Id="rId14" Type="http://schemas.openxmlformats.org/officeDocument/2006/relationships/hyperlink" Target="https://www.precedenceresearch.com/retrieval-augmented-generation-market" TargetMode="External"/><Relationship Id="rId15" Type="http://schemas.openxmlformats.org/officeDocument/2006/relationships/hyperlink" Target="https://techcommunity.microsoft.com/blog/azure-ai-services-blog/bonus-rag-time-journey-agentic-rag/4404652" TargetMode="External"/><Relationship Id="rId16" Type="http://schemas.openxmlformats.org/officeDocument/2006/relationships/hyperlink" Target="https://www.dataguidance.com/advisories/saudi-arabia-pd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