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Cautious pragmatism pays off as agentic AI moves from hype to operational wins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Imagine autonomous software that not only answers questions but plans, coordinates tools and carries work to completion — routing invoices, remediating an incident, or even negotiating a commercial agreement with minimal human hand‑holding. That is the promise of agentic AI, and it is moving quickly from marketing copy into measurable operational practice across large organisations.</w:t>
      </w:r>
      <w:r/>
    </w:p>
    <w:p>
      <w:r/>
      <w:r>
        <w:t>Vendor commentary and independent industry analysis converge on the same basic story: agentic systems extend the capabilities of generative models by adding goal decomposition, tool orchestration, ongoing learning and autonomous decision loops. IBM describes these systems as autonomous, goal‑driven agents that act with limited supervision to achieve complex objectives, emphasising that they plan, coordinate and adapt in real time rather than merely generate text on request. According to IBM, these capabilities bring obvious operational use cases — from IT operations and security to supply‑chain orchestration and customer service — but also demand new governance, monitoring and tooling choices before they are deployed at scale.</w:t>
      </w:r>
      <w:r/>
    </w:p>
    <w:p>
      <w:r/>
      <w:r>
        <w:t>Market momentum is striking, if uneven. Industry research puts enterprise agentic AI on a steep growth trajectory: Grand View Research estimates the enterprise agentic AI sector at roughly USD 2.58 billion in 2024 and projects it to reach about USD 24.50 billion by 2030 at a compound annual growth rate of approximately 46.2% between 2025 and 2030, with North America the largest regional market and machine learning the dominant technology segment. Vendor blogs and consultancies sometimes give larger, more headline‑grabbing totals for “agentic AI” more broadly; these should be treated as illustrative of market enthusiasm rather than precise consensus forecasts.</w:t>
      </w:r>
      <w:r/>
    </w:p>
    <w:p>
      <w:r/>
      <w:r>
        <w:t>What the early adopters show is not science fiction but practical returns when the technology is matched to a clear business problem and the right engineering and organisational work is done up front. Uber’s COTA system, for example, is an in‑house machine‑learning assistant built on Uber’s Michelangelo platform that classifies customer support tickets, ranks likely resolutions and surfaces recommendations to human agents. Uber reports that COTA reduces resolution times by more than 10%, improves accuracy and scales across languages and cities — a pattern familiar to many service organisations that first deploy automation as an agent‑assisted productivity multiplier rather than a full replacement for humans.</w:t>
      </w:r>
      <w:r/>
    </w:p>
    <w:p>
      <w:r/>
      <w:r>
        <w:t>Manufacturing offers a parallel lesson. Google Cloud’s account of Toyota’s internal AI platform describes a deliberate organisational and technical shift: Toyota enabled factory‑floor staff — not just data scientists — to build and deploy models, scaling from some 8,000 models to around 10,000 and saving in excess of 10,000 person‑hours a year. The outcome was less about theatrical autonomy and more about decentralising model creation, accelerating problem resolution at the frontline and embedding AI into everyday operational workflows.</w:t>
      </w:r>
      <w:r/>
    </w:p>
    <w:p>
      <w:r/>
      <w:r>
        <w:t>Large incumbents’ virtual assistants similarly demonstrate scale and utility. Bank of America’s Erica has handled billions of client interactions since its launch, the bank says, delivering rapid responses to routine matters and reducing pressure on contact centres — an outcome that underlines how conversational agents, when coupled with backend automation and orchestration, can materially lower operational load while improving customer experience.</w:t>
      </w:r>
      <w:r/>
    </w:p>
    <w:p>
      <w:r/>
      <w:r>
        <w:t>Logistics companies point to another practical class of deployments. DHL’s Resilience360 platform, presented in the company’s materials as a cloud‑based risk and resilience tool, combines external incident feeds, IoT and shipment data to offer near‑real‑time monitoring and predictive analytics; customers use it to identify disruptions and explore alternative routing — an example of agentic patterns (detect, propose, act) applied to supply‑chain resilience.</w:t>
      </w:r>
      <w:r/>
    </w:p>
    <w:p>
      <w:r/>
      <w:r>
        <w:t>These successes are instructive because they show a recurring pattern: the greatest returns come when organisations pair autonomous capabilities with human oversight, clear KPIs and work to unblock the data plumbing that makes trustworthy automation possible.</w:t>
      </w:r>
      <w:r/>
    </w:p>
    <w:p>
      <w:r/>
      <w:r>
        <w:t>That last point is crucial. The industry’s early experience — and the cautions emphasised by providers like IBM and analysts — underline several practical barriers that enterprises must address:</w:t>
      </w:r>
      <w:r/>
      <w:r/>
    </w:p>
    <w:p>
      <w:pPr>
        <w:pStyle w:val="ListBullet"/>
        <w:spacing w:line="240" w:lineRule="auto"/>
        <w:ind w:left="720"/>
      </w:pPr>
      <w:r/>
      <w:r>
        <w:t>Data quality and silos. Agentic systems rely on well‑structured, accessible data. Organisations that leave data scattered across legacy ERPs, CRM systems and file shares risk producing agents that act on incomplete or incorrect facts. Data governance and a unified data architecture are prerequisites, not optional extras.</w:t>
      </w:r>
      <w:r/>
    </w:p>
    <w:p>
      <w:pPr>
        <w:pStyle w:val="ListBullet"/>
        <w:spacing w:line="240" w:lineRule="auto"/>
        <w:ind w:left="720"/>
      </w:pPr>
      <w:r/>
      <w:r>
        <w:t>Integration with legacy systems. Retrofitting autonomy into decades‑old IT estates is technically and organisationally challenging. Pilot projects that isolate a single workflow and modernise its endpoints are a pragmatic way to prove value before broader roll‑out.</w:t>
      </w:r>
      <w:r/>
    </w:p>
    <w:p>
      <w:pPr>
        <w:pStyle w:val="ListBullet"/>
        <w:spacing w:line="240" w:lineRule="auto"/>
        <w:ind w:left="720"/>
      </w:pPr>
      <w:r/>
      <w:r>
        <w:t>Accountability and explainability. Autonomous decisions in regulated domains — finance, healthcare, insurance — require traceability. IBM and other industry voices stress monitoring, audit trails and human‑in‑the‑loop controls to ensure decisions can be explained and corrected.</w:t>
      </w:r>
      <w:r/>
    </w:p>
    <w:p>
      <w:pPr>
        <w:pStyle w:val="ListBullet"/>
        <w:spacing w:line="240" w:lineRule="auto"/>
        <w:ind w:left="720"/>
      </w:pPr>
      <w:r/>
      <w:r>
        <w:t>Compliance and legal risk. Regionally varying regulations complicate cross‑border deployments. Continuous legal engagement and embedded compliance checks must accompany development and operation.</w:t>
      </w:r>
      <w:r/>
    </w:p>
    <w:p>
      <w:pPr>
        <w:pStyle w:val="ListBullet"/>
        <w:spacing w:line="240" w:lineRule="auto"/>
        <w:ind w:left="720"/>
      </w:pPr>
      <w:r/>
      <w:r>
        <w:t>Domain expertise and training cost. General models rarely substitute for sector knowledge. Building effective agents often requires supervised fine‑tuning with subject‑matter experts, knowledge graphs and reusable ontologies.</w:t>
      </w:r>
      <w:r/>
    </w:p>
    <w:p>
      <w:pPr>
        <w:pStyle w:val="ListBullet"/>
        <w:spacing w:line="240" w:lineRule="auto"/>
        <w:ind w:left="720"/>
      </w:pPr>
      <w:r/>
      <w:r>
        <w:t>Security and privacy. Agentic systems frequently touch sensitive customer and corporate data, becoming attractive targets for attackers. End‑to‑end encryption, role‑based access and continuous security testing are essential.</w:t>
      </w:r>
      <w:r/>
    </w:p>
    <w:p>
      <w:pPr>
        <w:pStyle w:val="ListBullet"/>
        <w:spacing w:line="240" w:lineRule="auto"/>
        <w:ind w:left="720"/>
      </w:pPr>
      <w:r/>
      <w:r>
        <w:t>Workforce readiness and change management. The fear that “AI will replace jobs” is real and can derail projects. Early examples — from contact centres to clinician documentation pilots — show that framing automation as augmentation, and investing in re‑skilling, produces better outcomes and adoption.</w:t>
      </w:r>
      <w:r/>
      <w:r/>
    </w:p>
    <w:p>
      <w:r/>
      <w:r>
        <w:t>Given these constraints, how should a pragmatic enterprise proceed? The lessons from case studies and vendor guidance converge on an implementation playbook:</w:t>
      </w:r>
      <w:r/>
      <w:r/>
    </w:p>
    <w:p>
      <w:pPr>
        <w:pStyle w:val="ListBullet"/>
        <w:spacing w:line="240" w:lineRule="auto"/>
        <w:ind w:left="720"/>
      </w:pPr>
      <w:r/>
      <w:r>
        <w:t>Start with a tightly scoped pilot that addresses a well‑measured, high‑frequency pain point (for example, ticket triage, incident remediation or claims intake). The Uber and Toyota examples show how narrow wins can scale.</w:t>
      </w:r>
      <w:r/>
    </w:p>
    <w:p>
      <w:pPr>
        <w:pStyle w:val="ListBullet"/>
        <w:spacing w:line="240" w:lineRule="auto"/>
        <w:ind w:left="720"/>
      </w:pPr>
      <w:r/>
      <w:r>
        <w:t>Invest first in the data foundation and integration layer. Automated agents are only as good as the data they see.</w:t>
      </w:r>
      <w:r/>
    </w:p>
    <w:p>
      <w:pPr>
        <w:pStyle w:val="ListBullet"/>
        <w:spacing w:line="240" w:lineRule="auto"/>
        <w:ind w:left="720"/>
      </w:pPr>
      <w:r/>
      <w:r>
        <w:t>Design for human oversight. Build clear escalation paths, audit logs and easy ways to override or correct autonomous actions.</w:t>
      </w:r>
      <w:r/>
    </w:p>
    <w:p>
      <w:pPr>
        <w:pStyle w:val="ListBullet"/>
        <w:spacing w:line="240" w:lineRule="auto"/>
        <w:ind w:left="720"/>
      </w:pPr>
      <w:r/>
      <w:r>
        <w:t>Bake in governance from day one. Security, compliance and ethical review should be embedded into development sprints, not tacked on later.</w:t>
      </w:r>
      <w:r/>
    </w:p>
    <w:p>
      <w:pPr>
        <w:pStyle w:val="ListBullet"/>
        <w:spacing w:line="240" w:lineRule="auto"/>
        <w:ind w:left="720"/>
      </w:pPr>
      <w:r/>
      <w:r>
        <w:t>Measure and iterate. Track operational metrics (resolution time, mean time to repair, on‑time delivery) and human factors (agent satisfaction, trust), and iterate models and orchestration rules accordingly.</w:t>
      </w:r>
      <w:r/>
      <w:r/>
    </w:p>
    <w:p>
      <w:r/>
      <w:r>
        <w:t>Vendors and consultancies are already positioning to help; for example, some development houses offer ballpark cost estimates for agentic projects and suggest timelines ranging from a few months for basic pilots to a year or more for enterprise‑grade implementations. Those numbers should be treated as rough guides: total cost depends heavily on use‑case complexity, required integrations, regulatory overhead and the need for domain expertise.</w:t>
      </w:r>
      <w:r/>
    </w:p>
    <w:p>
      <w:r/>
      <w:r>
        <w:t>If there is a single, practical takeaway, it is this: agentic AI is not a plug‑and‑play productivity panacea, nor is it a speculative experiment. When anchored to clear operational problems, buttressed by solid data engineering and governance, and deployed with human oversight, agentic systems can deliver measurable improvements in speed, scale and resilience. The early adopters show what is possible; the rest of the market is now deciding whether to pilot responsibly or buy into the hype unprepared.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https://theninehertz.com/blog/agentic-ai-for-enterprise</w:t>
        </w:r>
      </w:hyperlink>
      <w:r>
        <w:t xml:space="preserve"> - Please view link - unable to able to access data</w:t>
      </w:r>
      <w:r/>
    </w:p>
    <w:p>
      <w:pPr>
        <w:pStyle w:val="ListNumber"/>
        <w:spacing w:line="240" w:lineRule="auto"/>
        <w:ind w:left="720"/>
      </w:pPr>
      <w:r/>
      <w:hyperlink r:id="rId11">
        <w:r>
          <w:rPr>
            <w:color w:val="0000EE"/>
            <w:u w:val="single"/>
          </w:rPr>
          <w:t>https://www.ibm.com/think/topics/agentic-ai</w:t>
        </w:r>
      </w:hyperlink>
      <w:r>
        <w:t xml:space="preserve"> - IBM's 'What Is Agentic AI?' explains agentic AI as autonomous, goal-driven systems composed of AI agents that act with limited supervision to accomplish complex objectives. It contrasts generative AI with agentic systems that plan, coordinate tools, and adapt in real time, often in multi-agent configurations. The page outlines core capabilities such as decision-making, learning, orchestration and goal decomposition, and highlights use cases across enterprise operations. It emphasises that agentic AI builds on machine learning and large language models while requiring governance and integration. Practical considerations like orchestration, tool integration and the need for monitoring are discussed for enterprise adoption further.</w:t>
      </w:r>
      <w:r/>
    </w:p>
    <w:p>
      <w:pPr>
        <w:pStyle w:val="ListNumber"/>
        <w:spacing w:line="240" w:lineRule="auto"/>
        <w:ind w:left="720"/>
      </w:pPr>
      <w:r/>
      <w:hyperlink r:id="rId12">
        <w:r>
          <w:rPr>
            <w:color w:val="0000EE"/>
            <w:u w:val="single"/>
          </w:rPr>
          <w:t>https://www.uber.com/blog/cota/</w:t>
        </w:r>
      </w:hyperlink>
      <w:r>
        <w:t xml:space="preserve"> - Uber’s COTA blog describes COTA (Customer Obsession Ticket Assistant), an in-house machine‑learning system that assists support agents by classifying tickets and suggesting solutions. Built on Uber’s Michelangelo platform, it ingests ticket and trip context, predicts issue types and ranks potential resolutions, returning top recommendations to agents. The post reports COTA reduces ticket resolution time by over 10%, improves accuracy, and scales across languages and cities. It details architecture, data pipelines and iterative model improvements, demonstrating how agentic or agent-like ML systems can streamline customer support workflows, standardise responses and free human agents to handle complex cases and accelerate outcomes rapidly.</w:t>
      </w:r>
      <w:r/>
    </w:p>
    <w:p>
      <w:pPr>
        <w:pStyle w:val="ListNumber"/>
        <w:spacing w:line="240" w:lineRule="auto"/>
        <w:ind w:left="720"/>
      </w:pPr>
      <w:r/>
      <w:hyperlink r:id="rId13">
        <w:r>
          <w:rPr>
            <w:color w:val="0000EE"/>
            <w:u w:val="single"/>
          </w:rPr>
          <w:t>https://cloud.google.com/blog/topics/hybrid-cloud/toyota-ai-platform-manufacturing-efficiency/</w:t>
        </w:r>
      </w:hyperlink>
      <w:r>
        <w:t xml:space="preserve"> - Google Cloud’s case study on Toyota explains how Toyota developed an internal AI Platform to democratise machine‑learning model creation across factory staff. The platform enabled non‑specialist employees to build models for quality inspection, anomaly detection and process tasks, scaling usage from 8,000 to 10,000 models and saving over 10,000 man‑hours annually. It describes technical choices such as GKE image streaming to speed model creation and the cultural shift from centralised development to frontline ownership. The piece emphasises operational benefits – faster problem resolution, improved inspection accuracy and broader AI adoption across ten factories – illustrating enterprise agentic AI in manufacturing.</w:t>
      </w:r>
      <w:r/>
    </w:p>
    <w:p>
      <w:pPr>
        <w:pStyle w:val="ListNumber"/>
        <w:spacing w:line="240" w:lineRule="auto"/>
        <w:ind w:left="720"/>
      </w:pPr>
      <w:r/>
      <w:hyperlink r:id="rId14">
        <w:r>
          <w:rPr>
            <w:color w:val="0000EE"/>
            <w:u w:val="single"/>
          </w:rPr>
          <w:t>https://www.grandviewresearch.com/industry-analysis/enterprise-agentic-ai-market-report</w:t>
        </w:r>
      </w:hyperlink>
      <w:r>
        <w:t xml:space="preserve"> - Grand View Research’s report page summarises the enterprise agentic AI market, estimating the sector at USD 2.58 billion in 2024 and projecting growth to USD 24.50 billion by 2030 at a 46.2% CAGR (2025–2030). The overview identifies North America as the largest regional market with roughly 39% share, and machine learning as the leading technology segment at about 29% revenue share. It discusses single‑agent versus multi‑agent systems, industry verticals including finance and retail, and drivers such as demand for rapid decision‑making and automation. The page positions enterprise agentic AI as a fast‑growing market for operational autonomy in large organisations globally.</w:t>
      </w:r>
      <w:r/>
    </w:p>
    <w:p>
      <w:pPr>
        <w:pStyle w:val="ListNumber"/>
        <w:spacing w:line="240" w:lineRule="auto"/>
        <w:ind w:left="720"/>
      </w:pPr>
      <w:r/>
      <w:hyperlink r:id="rId15">
        <w:r>
          <w:rPr>
            <w:color w:val="0000EE"/>
            <w:u w:val="single"/>
          </w:rPr>
          <w:t>https://newsroom.bankofamerica.com/content/newsroom/press-releases/2024/04/bofa-s-erica-surpasses-2-billion-interactions--helping-42-millio.html</w:t>
        </w:r>
      </w:hyperlink>
      <w:r>
        <w:t xml:space="preserve"> - Bank of America’s press release reports Erica, its AI‑driven virtual assistant, has handled over two billion client interactions since 2018, serving tens of millions of clients and providing rapid responses. The release highlights Erica’s proactive insights, frequent use cases such as monitoring subscriptions and finding transactions, and its average response time of 44 seconds with over 98% satisfaction for many queries. It also notes enterprise extensions like Erica for Employees which reduced internal IT service desk calls significantly. The statement demonstrates how virtual assistants at scale can improve customer engagement, lower live agent load and deliver measurable operational benefits tangibly.</w:t>
      </w:r>
      <w:r/>
    </w:p>
    <w:p>
      <w:pPr>
        <w:pStyle w:val="ListNumber"/>
        <w:spacing w:line="240" w:lineRule="auto"/>
        <w:ind w:left="720"/>
      </w:pPr>
      <w:r/>
      <w:hyperlink r:id="rId16">
        <w:r>
          <w:rPr>
            <w:color w:val="0000EE"/>
            <w:u w:val="single"/>
          </w:rPr>
          <w:t>https://group.dhl.com/en/media-relations/press-releases/2018/4th-annual-dhl-risk-and-resilience-conference.html</w:t>
        </w:r>
      </w:hyperlink>
      <w:r>
        <w:t xml:space="preserve"> - DHL’s Resilience360 press materials describe a cloud‑based supply‑chain risk management platform offering near‑real‑time incident monitoring, predictive analytics and mobile access. The announcements and case studies explain how Resilience360 integrates external incident feeds, IoT and shipment data to alert customers, suggest alternative routing and enable proactive mitigation. DHL cites deployments and customer examples that improved operational stability and decision‑making during disruptions, illustrating how AI, machine learning and orchestration can reduce disruption impact and support adaptive logistics planning across multiple transport modes. Resilience360 is presented as a tool to increase supply‑chain resilience and operational visibility for enterprise customers and savings.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theninehertz.com/blog/agentic-ai-for-enterprise" TargetMode="External"/><Relationship Id="rId11" Type="http://schemas.openxmlformats.org/officeDocument/2006/relationships/hyperlink" Target="https://www.ibm.com/think/topics/agentic-ai" TargetMode="External"/><Relationship Id="rId12" Type="http://schemas.openxmlformats.org/officeDocument/2006/relationships/hyperlink" Target="https://www.uber.com/blog/cota/" TargetMode="External"/><Relationship Id="rId13" Type="http://schemas.openxmlformats.org/officeDocument/2006/relationships/hyperlink" Target="https://cloud.google.com/blog/topics/hybrid-cloud/toyota-ai-platform-manufacturing-efficiency/" TargetMode="External"/><Relationship Id="rId14" Type="http://schemas.openxmlformats.org/officeDocument/2006/relationships/hyperlink" Target="https://www.grandviewresearch.com/industry-analysis/enterprise-agentic-ai-market-report" TargetMode="External"/><Relationship Id="rId15" Type="http://schemas.openxmlformats.org/officeDocument/2006/relationships/hyperlink" Target="https://newsroom.bankofamerica.com/content/newsroom/press-releases/2024/04/bofa-s-erica-surpasses-2-billion-interactions--helping-42-millio.html" TargetMode="External"/><Relationship Id="rId16" Type="http://schemas.openxmlformats.org/officeDocument/2006/relationships/hyperlink" Target="https://group.dhl.com/en/media-relations/press-releases/2018/4th-annual-dhl-risk-and-resilience-conference.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