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turning AI agents into a distributed nervous system for real‑time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Enterprises building AI agents today are assembling a stack that looks less like a single product and more like a distributed nervous system: multimodal sensing at the edge, low‑latency media pipelines, deep back‑office integrations, a rules‑driven decision core, personalised user profiles, and robust human‑handoff. Taken together, these components determine whether an agent simply answers canned questions or reliably executes business processes in real time while remaining auditable, compliant and human‑centred.</w:t>
      </w:r>
      <w:r/>
    </w:p>
    <w:p>
      <w:r/>
      <w:r>
        <w:t>Multimodal input and output: richer signals, higher expectations AI agents now routinely combine text, images, documents and audio to form a richer picture of user intent. According to Google Cloud, multimodal models that fuse text, images and audio produce more useful enterprise outcomes — for example, customer support that combines a chat log with an uploaded screenshot or a call recording to diagnose a device fault. But multimodality raises new design constraints: data‑fusion strategies, format conversion, and latency‑aware architectures must be baked in from the start if user experience is to remain smooth.</w:t>
      </w:r>
      <w:r/>
    </w:p>
    <w:p>
      <w:r/>
      <w:r>
        <w:t>For voice agents, that means an end‑to‑end audio pipeline: capture → automatic speech recognition (ASR) → natural language understanding/LLM → response generation → text‑to‑speech (TTS). The process must be orchestrated so that transcription and synthesis overlap rather than happen serially. Microsoft’s Speech Service documentation recommends streaming audio and text, reusing pre‑connected synthesiser sessions and using asynchronous playback so audio output can begin as soon as the first chunks arrive — pragmatic steps that help meet the sub‑second responsiveness voice interfaces require.</w:t>
      </w:r>
      <w:r/>
    </w:p>
    <w:p>
      <w:r/>
      <w:r>
        <w:t>Integration as the agent’s nervous system An enterprise agent is only as useful as the systems it can reach. Deep connections to CRM, ERP, HRMS and telephony platforms let an agent fetch a customer’s last order, confirm an appointment mid‑call, or log a case without manual intervention. Salesforce’s Service Cloud Voice shows how embedding telephony inside a unified console enables agents (human and automated) to view customer records, proposed actions and real‑time transcript data in one place, reducing context switching and improving first‑contact resolution. Equally, vendors such as Twilio advocate for unified customer profiles that consolidate identity, interaction history and computed traits so personalisation is immediate, consistent and governed.</w:t>
      </w:r>
      <w:r/>
    </w:p>
    <w:p>
      <w:r/>
      <w:r>
        <w:t>Decision‑making and business logic: auditable automation When an agent undertakes sensitive operations — issuing refunds, approving discounts, or changing customer data — it must follow business rules that are transparent and traceable. Camunda and other workflow platforms promote decision‑automation patterns such as Decision Model and Notation (DMN) and decision tables that separate policy from implementation. Using an executable rules engine allows a voice or chat agent to run compliance checks in real time and to record why a particular action was taken, preserving an audit trail that regulators and internal auditors can inspect.</w:t>
      </w:r>
      <w:r/>
    </w:p>
    <w:p>
      <w:r/>
      <w:r>
        <w:t>Personalisation without surprise Personalisation modules draw on stored variables and unified profiles to shape tone, content and recommendations. For chat, that might mean suggesting a product tied to recent browsing; for voice, it may mean modulating speech pace or proactively addressing past service issues. But personalised experiences require disciplined data governance: consent management, retention policies and role‑based access to profiles are essential if enterprises are to scale these capabilities safely. Twilio’s guidance highlights the need to combine identity resolution with privacy controls so that personalisation does not contravene regulation or customer expectations.</w:t>
      </w:r>
      <w:r/>
    </w:p>
    <w:p>
      <w:r/>
      <w:r>
        <w:t>Latency, context and the human handover Chat and voice agents impose different technical priorities. Chat interfaces tolerate modest delays — often one to two seconds — without damaging the experience. Voice interfaces, by contrast, demand ultra‑low latency (often targeted under 500 milliseconds) to preserve natural turn‑taking. Practical engineering measures such as streaming ASR/TTS, audio compression and persistent connections reduce connection overhead and improve perceived responsiveness, as Microsoft demonstrates in its speech SDK guidance.</w:t>
      </w:r>
      <w:r/>
    </w:p>
    <w:p>
      <w:r/>
      <w:r>
        <w:t>No agent will resolve every scenario. Intelligent fallback and escalation mechanisms — which preserve the conversation history, attach the captured variables and provide a concise summary — are therefore critical. Vendors such as Ada detail handoff designs that create a Zendesk ticket with the chat transcript and mapped context fields, while other integrations support live call transfer with an attached case summary. These handoff flows shorten triage time for human agents and prevent customers from repeating themselves.</w:t>
      </w:r>
      <w:r/>
    </w:p>
    <w:p>
      <w:r/>
      <w:r>
        <w:t>Architectural choices and reasoning paradigms How an agent reasons about multi‑step tasks affects cost, predictability and tool usage. Two pragmatic paradigms have emerged:</w:t>
      </w:r>
      <w:r/>
      <w:r/>
    </w:p>
    <w:p>
      <w:pPr>
        <w:pStyle w:val="ListBullet"/>
        <w:spacing w:line="240" w:lineRule="auto"/>
        <w:ind w:left="720"/>
      </w:pPr>
      <w:r/>
      <w:r>
        <w:t>ReAct (reasoning and action): the agent alternates between thinking and acting, evaluating the outcome of each step before choosing the next tool or source. This incremental approach simplifies handling unexpected states and is analogous to human problem‑solving in dynamic conversations.</w:t>
      </w:r>
      <w:r/>
    </w:p>
    <w:p>
      <w:pPr>
        <w:pStyle w:val="ListBullet"/>
        <w:spacing w:line="240" w:lineRule="auto"/>
        <w:ind w:left="720"/>
      </w:pPr>
      <w:r/>
      <w:r>
        <w:t>ReWOO (reasoning without observation): the agent plans the entire sequence up front and executes the plan as a unit. By reducing unnecessary tool calls and enabling plan review, ReWOO can save time and resources for well‑defined workflows such as contract approval routing.</w:t>
      </w:r>
      <w:r/>
      <w:r/>
    </w:p>
    <w:p>
      <w:r/>
      <w:r>
        <w:t>Different enterprise problems call for different paradigms; hybrid approaches are common.</w:t>
      </w:r>
      <w:r/>
    </w:p>
    <w:p>
      <w:r/>
      <w:r>
        <w:t>Agent types and appropriate use cases AI agents can be classified by their sophistication and autonomy:</w:t>
      </w:r>
      <w:r/>
      <w:r/>
    </w:p>
    <w:p>
      <w:pPr>
        <w:pStyle w:val="ListBullet"/>
        <w:spacing w:line="240" w:lineRule="auto"/>
        <w:ind w:left="720"/>
      </w:pPr>
      <w:r/>
      <w:r>
        <w:t>Simple reflex agents: rule‑based responders for fully observable tasks, suited to predictable interactions such as basic FAQs or scheduled actions.</w:t>
      </w:r>
      <w:r/>
    </w:p>
    <w:p>
      <w:pPr>
        <w:pStyle w:val="ListBullet"/>
        <w:spacing w:line="240" w:lineRule="auto"/>
        <w:ind w:left="720"/>
      </w:pPr>
      <w:r/>
      <w:r>
        <w:t>Model‑based reflex agents: maintain an internal state so they can operate in partially observable environments — for example, a cleaning robot that remembers covered areas.</w:t>
      </w:r>
      <w:r/>
    </w:p>
    <w:p>
      <w:pPr>
        <w:pStyle w:val="ListBullet"/>
        <w:spacing w:line="240" w:lineRule="auto"/>
        <w:ind w:left="720"/>
      </w:pPr>
      <w:r/>
      <w:r>
        <w:t>Goal‑based agents: evaluate sequences of actions to achieve objectives — such as a delivery planner that reroutes based on live traffic.</w:t>
      </w:r>
      <w:r/>
    </w:p>
    <w:p>
      <w:pPr>
        <w:pStyle w:val="ListBullet"/>
        <w:spacing w:line="240" w:lineRule="auto"/>
        <w:ind w:left="720"/>
      </w:pPr>
      <w:r/>
      <w:r>
        <w:t>Utility‑based agents: weigh multiple criteria (cost, time, reliability) and select the option with the highest overall utility, useful for corporate travel or procurement assistants.</w:t>
      </w:r>
      <w:r/>
    </w:p>
    <w:p>
      <w:pPr>
        <w:pStyle w:val="ListBullet"/>
        <w:spacing w:line="240" w:lineRule="auto"/>
        <w:ind w:left="720"/>
      </w:pPr>
      <w:r/>
      <w:r>
        <w:t>Learning agents: continually refine behaviour from interactions; recommendation engines in e‑commerce are a classic example, improving as more data arrives.</w:t>
      </w:r>
      <w:r/>
      <w:r/>
    </w:p>
    <w:p>
      <w:r/>
      <w:r>
        <w:t>Real business applications and operational realities Enterprises are already deploying agents across support, sales, operations and HR. In customer service, agents triage tickets, resolve routine issues and escalate with full context when needed; in sales they score leads, draft personalised outreach and re‑engage inactive prospects; in operations they automate invoice processing and predictive maintenance; in HR they screen candidates, schedule interviews and handle routine policy queries. The common thread is actionability — agents that can not only answer but execute and record.</w:t>
      </w:r>
      <w:r/>
    </w:p>
    <w:p>
      <w:r/>
      <w:r>
        <w:t>But deployment requires more than models. Observability, QA and governance matter: production monitoring for latency, accuracy and hallucination rates; regular audits of decision tables and model behaviour; human‑in‑the‑loop design for high‑risk decisions; and clear rollback procedures when a workflow misfires. Organisations should treat AI agents as business automation projects, not a bolt‑on chatbot.</w:t>
      </w:r>
      <w:r/>
    </w:p>
    <w:p>
      <w:r/>
      <w:r>
        <w:t>Design checklist for enterprise‑grade agents - Architect for multimodality and data fusion from day one.</w:t>
        <w:br/>
      </w:r>
      <w:r>
        <w:t>- Prioritise latency‑reducing techniques (streaming, pre‑warmed sessions, compressed media) for voice experiences.</w:t>
        <w:br/>
      </w:r>
      <w:r>
        <w:t>- Use a rules engine or DMN to encode and version business logic for auditable decisions.</w:t>
        <w:br/>
      </w:r>
      <w:r>
        <w:t>- Centralise customer identity and consent via unified profiles to enable safe personalisation.</w:t>
        <w:br/>
      </w:r>
      <w:r>
        <w:t>- Implement robust handoff patterns that carry transcripts, variables and concise summaries to humans.</w:t>
        <w:br/>
      </w:r>
      <w:r>
        <w:t>- Monitor production metrics (response time, task completion, escalation rates) and bake in retraining and rule‑review cadences.</w:t>
        <w:br/>
      </w:r>
      <w:r>
        <w:t>- Enforce privacy, consent and access controls across profile data and logs.</w:t>
      </w:r>
      <w:r/>
    </w:p>
    <w:p>
      <w:r/>
      <w:r>
        <w:t>Conclusion AI agents are maturing from point solutions into integrated automation platforms that must balance responsiveness, correctness, traceability and privacy. The technical building blocks — multimodal pipelines, low‑latency speech stacks, unified profiles, decision‑automation engines and resilient handoff flows — are available today. What remains a competitive differentiator is the engineering discipline to join those blocks together, the governance to keep automated actions auditable and safe, and the operational practices to keep human oversight central where it matters. If organisations get those elements right, AI agents will not replace knowledge workers in 2026; they will enable them to focus on the creative, strategic and empathetic work that machines cannot reliably do.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https://www.verloop.io/blog/ai-agents-in-enterprise/</w:t>
        </w:r>
      </w:hyperlink>
      <w:r>
        <w:t xml:space="preserve"> - Please view link - unable to able to access data</w:t>
      </w:r>
      <w:r/>
    </w:p>
    <w:p>
      <w:pPr>
        <w:pStyle w:val="ListNumber"/>
        <w:spacing w:line="240" w:lineRule="auto"/>
        <w:ind w:left="720"/>
      </w:pPr>
      <w:r/>
      <w:hyperlink r:id="rId11">
        <w:r>
          <w:rPr>
            <w:color w:val="0000EE"/>
            <w:u w:val="single"/>
          </w:rPr>
          <w:t>https://learn.microsoft.com/en-us/azure/ai-services/speech-service/how-to-lower-speech-synthesis-latency</w:t>
        </w:r>
      </w:hyperlink>
      <w:r>
        <w:t xml:space="preserve"> - Microsoft's Speech Service documentation explains techniques to reduce latency in real‑time speech applications, covering both ASR and TTS workflows. It recommends streaming audio and text to start processing early, reusing and pre‑connecting SpeechSynthesizer sessions, and using asynchronous methods so audio playback begins as soon as the first chunks arrive. The guide warns about connection overhead and suggests compressed audio formats to reduce network payloads. Practical SDK examples and configuration tips illustrate Pull/Push audio streams, audio chunk handling, and language settings for faster transcription. These practices are vital for enterprise voice agents where sub‑second responsiveness and smooth turn‑taking matter and reliability.</w:t>
      </w:r>
      <w:r/>
    </w:p>
    <w:p>
      <w:pPr>
        <w:pStyle w:val="ListNumber"/>
        <w:spacing w:line="240" w:lineRule="auto"/>
        <w:ind w:left="720"/>
      </w:pPr>
      <w:r/>
      <w:hyperlink r:id="rId12">
        <w:r>
          <w:rPr>
            <w:color w:val="0000EE"/>
            <w:u w:val="single"/>
          </w:rPr>
          <w:t>https://cloud.google.com/transform/how-multimodal-ai-helps-business</w:t>
        </w:r>
      </w:hyperlink>
      <w:r>
        <w:t xml:space="preserve"> - Google Cloud's post on multimodal AI describes how models that combine text, images, audio and other sensor data produce richer context and more useful enterprise applications. The article outlines business use‑cases such as document understanding, customer support that fuses chat and visual inputs, and automation of workflows across departments. It emphasises the importance of context, data fusion, and latency‑aware design when building multimodal systems. The blog also highlights practical benefits like improved accuracy, novel UX paradigms, and potential for automating complex tasks. For enterprises, multimodal AI promises more natural interfaces and stronger alignment between inputs, decisions and downstream actions today.</w:t>
      </w:r>
      <w:r/>
    </w:p>
    <w:p>
      <w:pPr>
        <w:pStyle w:val="ListNumber"/>
        <w:spacing w:line="240" w:lineRule="auto"/>
        <w:ind w:left="720"/>
      </w:pPr>
      <w:r/>
      <w:hyperlink r:id="rId13">
        <w:r>
          <w:rPr>
            <w:color w:val="0000EE"/>
            <w:u w:val="single"/>
          </w:rPr>
          <w:t>https://trailhead.salesforce.com/content/learn/modules/service-cloud-voice/service-voice-learn</w:t>
        </w:r>
      </w:hyperlink>
      <w:r>
        <w:t xml:space="preserve"> - Salesforce's Service Cloud Voice documentation explains how voice channels can be deeply integrated with CRM to provide unified agent consoles, real‑time transcription, and AI assistance. The guide shows how telephony can be embedded in the Service Console, allowing agents to view customer records, case history and suggested actions while on a call. It covers integration options including Amazon Connect and partner telephony, Omni‑Channel routing, and automatic logging of conversations to records. By centralising voice and digital channels, Service Cloud Voice reduces context switching, speeds resolution, and enables mid‑call workflows such as appointment confirmation, order lookup and case updates within CRM.</w:t>
      </w:r>
      <w:r/>
    </w:p>
    <w:p>
      <w:pPr>
        <w:pStyle w:val="ListNumber"/>
        <w:spacing w:line="240" w:lineRule="auto"/>
        <w:ind w:left="720"/>
      </w:pPr>
      <w:r/>
      <w:hyperlink r:id="rId14">
        <w:r>
          <w:rPr>
            <w:color w:val="0000EE"/>
            <w:u w:val="single"/>
          </w:rPr>
          <w:t>https://camunda.com/blog/2024/07/the-business-process-rules-engine/</w:t>
        </w:r>
      </w:hyperlink>
      <w:r>
        <w:t xml:space="preserve"> - Camunda's article on business rules engines outlines how decision automation and workflow orchestration enforce consistent, auditable business logic across enterprise processes. It explains Decision Model and Notation (DMN) and Decision Requirements Diagrams (DRDs) for modelling decision inputs, rules and outputs, and describes how decision tables link into executable workflows. Camunda shows examples such as loan risk determination where inputs like credit score and debt ratios feed a decision table to decide next steps. This approach supports compliance, repeatability and traceability, enabling voice and chat agents to run checks and trigger approved workflows before executing actions like refunds or approvals seamlessly.</w:t>
      </w:r>
      <w:r/>
    </w:p>
    <w:p>
      <w:pPr>
        <w:pStyle w:val="ListNumber"/>
        <w:spacing w:line="240" w:lineRule="auto"/>
        <w:ind w:left="720"/>
      </w:pPr>
      <w:r/>
      <w:hyperlink r:id="rId15">
        <w:r>
          <w:rPr>
            <w:color w:val="0000EE"/>
            <w:u w:val="single"/>
          </w:rPr>
          <w:t>https://www.twilio.com/docs/unified-profiles</w:t>
        </w:r>
      </w:hyperlink>
      <w:r>
        <w:t xml:space="preserve"> - Twilio's Unified Profiles documentation describes how consolidating customer data from CRM, web, mobile and other systems into identity‑resolved profiles enables instant, personalised experiences. Profiles centralise attributes, interaction history and computed traits so agents and AI tools can tailor responses and recommendations in real‑time. The page explains integration with Segment and how profiles feed into Flex and IVR flows, supporting personalised IVR routing, agent prompts and proactive outreach. It also highlights governance, consent and privacy controls for safe data usage. For enterprise chat and voice agents, unified profiles allow stored variables and history to shape tone, suggestions and pre‑emptive problem solving.</w:t>
      </w:r>
      <w:r/>
    </w:p>
    <w:p>
      <w:pPr>
        <w:pStyle w:val="ListNumber"/>
        <w:spacing w:line="240" w:lineRule="auto"/>
        <w:ind w:left="720"/>
      </w:pPr>
      <w:r/>
      <w:hyperlink r:id="rId16">
        <w:r>
          <w:rPr>
            <w:color w:val="0000EE"/>
            <w:u w:val="single"/>
          </w:rPr>
          <w:t>https://docs.ada.cx/docs/handoffs/zendesk/zendesk-chat/zendesk-chat-handoff-usage</w:t>
        </w:r>
      </w:hyperlink>
      <w:r>
        <w:t xml:space="preserve"> - Ada's Zendesk handoff documentation details how conversational AI can escalate to human agents while preserving context and transcripts. It explains steps to create handoff webhooks, check agent availability, and map captured variables like name, email and phone into Zendesk tickets. The guide notes that the transcript up to transfer is attached and that transcript summaries can be generated to speed agent triage. It covers fallback flows when agents are unavailable and session timeouts. These mechanisms ensure customers avoid repeating information during escalation, and enable agents to resume conversations with full context, improving resolution speed, customer satisfaction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loop.io/blog/ai-agents-in-enterprise/" TargetMode="External"/><Relationship Id="rId11" Type="http://schemas.openxmlformats.org/officeDocument/2006/relationships/hyperlink" Target="https://learn.microsoft.com/en-us/azure/ai-services/speech-service/how-to-lower-speech-synthesis-latency" TargetMode="External"/><Relationship Id="rId12" Type="http://schemas.openxmlformats.org/officeDocument/2006/relationships/hyperlink" Target="https://cloud.google.com/transform/how-multimodal-ai-helps-business" TargetMode="External"/><Relationship Id="rId13" Type="http://schemas.openxmlformats.org/officeDocument/2006/relationships/hyperlink" Target="https://trailhead.salesforce.com/content/learn/modules/service-cloud-voice/service-voice-learn" TargetMode="External"/><Relationship Id="rId14" Type="http://schemas.openxmlformats.org/officeDocument/2006/relationships/hyperlink" Target="https://camunda.com/blog/2024/07/the-business-process-rules-engine/" TargetMode="External"/><Relationship Id="rId15" Type="http://schemas.openxmlformats.org/officeDocument/2006/relationships/hyperlink" Target="https://www.twilio.com/docs/unified-profiles" TargetMode="External"/><Relationship Id="rId16" Type="http://schemas.openxmlformats.org/officeDocument/2006/relationships/hyperlink" Target="https://docs.ada.cx/docs/handoffs/zendesk/zendesk-chat/zendesk-chat-handoff-us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