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GPT‑5 boosts capabilities but exposes an ‘agent gap’ in enterprise readiness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OpenAI’s GPT‑5 has arrived as a clear technical step forward — faster, more capable across coding and multimodal tasks, and able to call tools and sustain much longer conversations — but analysts say the bigger bottleneck for genuinely agentic, enterprise‑grade AI is not the model itself but the missing orchestration, governance and infrastructure around it.</w:t>
      </w:r>
      <w:r/>
    </w:p>
    <w:p>
      <w:r/>
      <w:r>
        <w:t>“All we have done is create some very good engines for a car, and we are getting super excited, as if we have this fully functional highway system in place,” Arun Chandrasekaran, Gartner’s distinguished vice‑president analyst, told VentureBeat. That metaphor frames Gartner’s central contention: models are improving, sometimes rapidly, yet the platforms, controls and integrations enterprises need to deploy autonomous agents at scale remain immature.</w:t>
      </w:r>
      <w:r/>
    </w:p>
    <w:p>
      <w:r/>
      <w:r>
        <w:t>What GPT‑5 adds — and why it matters According to OpenAI’s product and developer announcements, GPT‑5 brings a package of developer‑facing features intended to make the model more useful in practical settings: three model sizes to tier cost and latency (gpt‑5, gpt‑5‑mini, gpt‑5‑nano), parallel tool calling, configurable reasoning and verbosity controls, long‑context performance and new API features such as batch requests and prompt caching. OpenAI also says it has reduced hallucination rates substantially and improved safety and multimodal handling.</w:t>
      </w:r>
      <w:r/>
    </w:p>
    <w:p>
      <w:r/>
      <w:r>
        <w:t>Gartner’s assessment acknowledges those gains: the model is “very capable” in coding and multi‑modal use, and its larger context windows (OpenAI’s consumer and subscription tiers now offer ranges that extend into tens of thousands of tokens) change the calculus for retrieval‑augmented designs. In practice that means some applications that previously relied on complex RAG pipelines can pass larger portions of a dataset into the model, simplifying architecture in some cases.</w:t>
      </w:r>
      <w:r/>
    </w:p>
    <w:p>
      <w:r/>
      <w:r>
        <w:t>Yet Gartner warns that simplification is not a universal win. Retrieving only the most relevant evidence remains faster and more cost‑effective than always shipping massive inputs. The firm recommends a hybrid approach: exploit GPT‑5’s ability to handle “larger, messier contexts” where useful, but continue to use targeted retrieval to reduce latency and cost.</w:t>
      </w:r>
      <w:r/>
    </w:p>
    <w:p>
      <w:r/>
      <w:r>
        <w:t>Costs, behaviour and compatibility Gartner’s analysis highlights token‑pricing and cost structure changes that will matter for enterprise planners: GPT‑5’s API pricing reduces raw costs relative to some competitors — Gartner notes input/output price points that can make long‑context use economically attractive — but the input/output ratio and large‑token workloads still require careful sizing, caching and routing to keep bills and latency under control.</w:t>
      </w:r>
      <w:r/>
    </w:p>
    <w:p>
      <w:r/>
      <w:r>
        <w:t>Operationally, migrating to GPT‑5 is not plug‑and‑play. Differences in memory, function‑calling and output formatting mean many organisations will need to review and revise prompt templates, system instructions and integration logic. Gartner recommends side‑by‑side benchmarking against alternative models and thorough integration testing before adopting GPT‑5 for mission‑critical workflows.</w:t>
      </w:r>
      <w:r/>
    </w:p>
    <w:p>
      <w:r/>
      <w:r>
        <w:t>The agent gap: orchestration, identity and trust The most persistent theme in Gartner’s view is not a shortcoming of GPT‑5’s neural architecture but of the layers that surround it. Agents — systems that act autonomously across enterprise apps and data stores — need reliable access to business systems, fine‑grained identity and access controls, audit trails, governance and a clear policy fabric that prevents over‑broad data exposure. Without those pieces, early agent pilots remain “small, narrow pockets” of productivity rather than reliable, organisation‑wide automation.</w:t>
      </w:r>
      <w:r/>
    </w:p>
    <w:p>
      <w:r/>
      <w:r>
        <w:t>Gartner places agentic AI on the 2025 Hype Cycle as having passed a peak of inflated expectations and sliding toward the trough of disillusionment. The implication for leaders is familiar: separate the marketing from the engineering, de‑risk deployments, and prioritise the plumbing — data quality, access controls, monitoring and human‑in‑the‑loop checkpoints — before pushing for full autonomy.</w:t>
      </w:r>
      <w:r/>
    </w:p>
    <w:p>
      <w:r/>
      <w:r>
        <w:t>OpenAI’s compute play and vendor realities OpenAI has been explicit about the operational pressures behind its product roadmap. The company’s Stargate initiative — expanded through partnerships that include Oracle and others — aims to add substantial U.S. data‑centre capacity to meet demand and reduce reliance on limited third‑party compute. OpenAI frames that effort as critical to delivering new generations of models and higher throughput; Gartner notes more prosaically that running multiple model generations concurrently creates cost and capacity challenges that favour consolidation.</w:t>
      </w:r>
      <w:r/>
    </w:p>
    <w:p>
      <w:r/>
      <w:r>
        <w:t>The broader market response has been mixed. Some customers judge raw capability and enterprise integrations more highly than mere novelty; others value continuity. When OpenAI’s shifts in model defaults provoked user backlash over changed tone and workflow disruption, the firm reinstated a legacy option for paying subscribers — an episode chronicled in industry coverage that underlines a persistent truth: user experience, trust and predictability often matter as much as peak capability when organisations adopt AI at scale.</w:t>
      </w:r>
      <w:r/>
    </w:p>
    <w:p>
      <w:r/>
      <w:r>
        <w:t>Risk, misuse and the governance imperative Even as hallucination rates decline by OpenAI’s account, analysts warn that improved reasoning and multimodal outputs also expand potential misuse — more convincing phishing, automated scam generation and other harms. Gartner advises that critical outputs remain human‑reviewed, that governance policies be updated for new behaviours and longer contexts, and that logging and auditability be enforced. The firm also recommends experimentation with tool integrations, routing and model sizing to strike the right balance between capability, cost and safety.</w:t>
      </w:r>
      <w:r/>
    </w:p>
    <w:p>
      <w:r/>
      <w:r>
        <w:t>What comes next For many practitioners the story of GPT‑5 is one of incremental technical progress colliding with a larger systems problem. “It’s almost like they’re positioning them as being production‑ready,” Chandrasekaran said, but the reality is far more complex: agents must be able to talk securely to enterprise systems, obey access controls, and provide outputs that teams trust.</w:t>
      </w:r>
      <w:r/>
    </w:p>
    <w:p>
      <w:r/>
      <w:r>
        <w:t>Gartner’s prescription is pragmatic: pilot and benchmark in real use cases; harden governance and identity controls; audit and scale integration testing; and treat vendor claims with professional scepticism. Equally important, vendors and enterprises must invest in open standards and interoperability for agent‑to‑tool and agent‑to‑agent communication if orchestration is to become a solved problem.</w:t>
      </w:r>
      <w:r/>
    </w:p>
    <w:p>
      <w:r/>
      <w:r>
        <w:t>Longer term, Gartner and others argue, significant advances beyond the current trajectory will likely require fresh thinking in model architecture and systems integration — not simply more data and compute. Until that revolution arrives, GPT‑5 looks set to deliver valuable new capabilities, but enterprises will need to build the “highways” around the engines before truly autonomous, trustworthy agents can drive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https://venturebeat.com/ai/gartner-gpt-5-is-here-but-the-infrastructure-to-support-true-agentic-ai-isnt-yet/</w:t>
        </w:r>
      </w:hyperlink>
      <w:r>
        <w:t xml:space="preserve"> - Please view link - unable to able to access data</w:t>
      </w:r>
      <w:r/>
    </w:p>
    <w:p>
      <w:pPr>
        <w:pStyle w:val="ListNumber"/>
        <w:spacing w:line="240" w:lineRule="auto"/>
        <w:ind w:left="720"/>
      </w:pPr>
      <w:r/>
      <w:hyperlink r:id="rId10">
        <w:r>
          <w:rPr>
            <w:color w:val="0000EE"/>
            <w:u w:val="single"/>
          </w:rPr>
          <w:t>https://venturebeat.com/ai/gartner-gpt-5-is-here-but-the-infrastructure-to-support-true-agentic-ai-isnt-yet/</w:t>
        </w:r>
      </w:hyperlink>
      <w:r>
        <w:t xml:space="preserve"> - VentureBeat reports Gartner’s view that while OpenAI’s GPT‑5 marks an incremental technical advance, the wider infrastructure required for truly agentic, enterprise‑grade AI remains underdeveloped. Arun Chandrasekaran of Gartner argues models are increasingly capable but enterprises lack orchestration, governance, identity and tool integration to deploy autonomous agents at scale. GPT‑5’s improvements in coding, multimodality, tool use, multistep planning and larger context windows ease some architectural constraints, yet retrieval‑augmented patterns and cost considerations persist. Gartner recommends pilots, governance updates, rigorous integration testing and hybrid retrieval approaches. The piece warns of exaggerated vendor claims and cautions enterprises against premature, ungoverned agent rollouts today.</w:t>
      </w:r>
      <w:r/>
    </w:p>
    <w:p>
      <w:pPr>
        <w:pStyle w:val="ListNumber"/>
        <w:spacing w:line="240" w:lineRule="auto"/>
        <w:ind w:left="720"/>
      </w:pPr>
      <w:r/>
      <w:hyperlink r:id="rId11">
        <w:r>
          <w:rPr>
            <w:color w:val="0000EE"/>
            <w:u w:val="single"/>
          </w:rPr>
          <w:t>https://openai.com/gpt-5/</w:t>
        </w:r>
      </w:hyperlink>
      <w:r>
        <w:t xml:space="preserve"> - OpenAI’s GPT‑5 landing page announces the model as the company’s most capable release, emphasising improvements in reasoning, coding, multimodality, safety and responsiveness. The page highlights new ChatGPT features such as configurable personalities, improved voice, study mode, and integrations with Gmail and Google Calendar for personalised assistance. For businesses, GPT‑5 is positioned as more reliable for professional tasks and better at using company files and connected apps while respecting permissions. The page links to developer documentation and positions GPT‑5 as broadly available to users. It frames GPT‑5 as a step toward longstanding goals like general intelligence while stressing practical applicability now.</w:t>
      </w:r>
      <w:r/>
    </w:p>
    <w:p>
      <w:pPr>
        <w:pStyle w:val="ListNumber"/>
        <w:spacing w:line="240" w:lineRule="auto"/>
        <w:ind w:left="720"/>
      </w:pPr>
      <w:r/>
      <w:hyperlink r:id="rId12">
        <w:r>
          <w:rPr>
            <w:color w:val="0000EE"/>
            <w:u w:val="single"/>
          </w:rPr>
          <w:t>https://openai.com/index/introducing-gpt-5-for-developers/</w:t>
        </w:r>
      </w:hyperlink>
      <w:r>
        <w:t xml:space="preserve"> - OpenAI’s developer announcement details GPT‑5 technical benchmarks, tooling and API features. It describes three model sizes (gpt‑5, gpt‑5‑mini, gpt‑5‑nano), parallel tool calling, reasoning parameters, verbosity controls, and extensive long‑context performance, citing benchmarks that show strong gains on tool‑use tests and long‑context retrieval. The post specifies API token limits and cost‑saving features like prompt caching and Batch API. It also reports substantial reductions in hallucination rates across metrics and highlights safety improvements. Availability across Microsoft platforms and documentation links are provided. The entry targets engineers planning integrations, emphasising integration testing, routing and model sizing for cost and latency optimisation and scalability.</w:t>
      </w:r>
      <w:r/>
    </w:p>
    <w:p>
      <w:pPr>
        <w:pStyle w:val="ListNumber"/>
        <w:spacing w:line="240" w:lineRule="auto"/>
        <w:ind w:left="720"/>
      </w:pPr>
      <w:r/>
      <w:hyperlink r:id="rId13">
        <w:r>
          <w:rPr>
            <w:color w:val="0000EE"/>
            <w:u w:val="single"/>
          </w:rPr>
          <w:t>https://www.gartner.com/en/insights/gartner-hype-cycle</w:t>
        </w:r>
      </w:hyperlink>
      <w:r>
        <w:t xml:space="preserve"> - Gartner’s 2025 Hype Cycle for Artificial Intelligence analysis positions generative AI as moving into the Trough of Disillusionment after a Peak of Inflated Expectations, urging leaders to prioritise foundational innovations and responsible scaling. The report highlights challenges such as governance, hallucinations, bias, talent shortages and non‑AI‑ready data, and frames AI agents as powerful but prone to risks around access, security and trust. Gartner recommends evolving data management, de‑risking deployments, and focusing on AI‑ready data and governance to progress beyond hype. The Hype Cycle helps organisations discern which AI techniques are maturing and which require cautious investment and strategic prioritisation guidance.</w:t>
      </w:r>
      <w:r/>
    </w:p>
    <w:p>
      <w:pPr>
        <w:pStyle w:val="ListNumber"/>
        <w:spacing w:line="240" w:lineRule="auto"/>
        <w:ind w:left="720"/>
      </w:pPr>
      <w:r/>
      <w:hyperlink r:id="rId14">
        <w:r>
          <w:rPr>
            <w:color w:val="0000EE"/>
            <w:u w:val="single"/>
          </w:rPr>
          <w:t>https://openai.com/index/stargate-advances-with-partnership-with-oracle/</w:t>
        </w:r>
      </w:hyperlink>
      <w:r>
        <w:t xml:space="preserve"> - OpenAI’s Stargate announcement describes a partnership with Oracle to develop an additional 4.5 gigawatts of data centre capacity in the United States, expanding Stargate’s planned infrastructure to over 5 GW and supporting roughly two million AI chips. The post frames Stargate as a $500 billion initiative to boost American AI leadership, create jobs and underpin OpenAI’s compute needs, noting partners including SoftBank, NVIDIA, Microsoft and Oracle. It outlines operational aims, site development and partnerships for power, land and construction. The announcement underscores why OpenAI is diversifying compute partnerships to address capacity constraints for training and serving large models and resilience.</w:t>
      </w:r>
      <w:r/>
    </w:p>
    <w:p>
      <w:pPr>
        <w:pStyle w:val="ListNumber"/>
        <w:spacing w:line="240" w:lineRule="auto"/>
        <w:ind w:left="720"/>
      </w:pPr>
      <w:r/>
      <w:hyperlink r:id="rId15">
        <w:r>
          <w:rPr>
            <w:color w:val="0000EE"/>
            <w:u w:val="single"/>
          </w:rPr>
          <w:t>https://www.tomsguide.com/ai/chatgpt-4o-is-coming-back-after-massive-gpt-5-backlash-heres-what-happened</w:t>
        </w:r>
      </w:hyperlink>
      <w:r>
        <w:t xml:space="preserve"> - Tom’s Guide examines the backlash to OpenAI’s GPT‑5 rollout and explains why GPT‑4o was reinstated for paying subscribers. The article recounts user complaints that GPT‑5 felt colder and disrupted established workflows, and describes OpenAI CEO Sam Altman’s response to bring back GPT‑4o as an option while monitoring usage. It highlights how model selection, tone and familiarity matter to users beyond raw capability, and notes adjustments such as increased rate limits and settings to show legacy models. The piece illustrates tensions between technical progress and user experience when companies replace familiar AI models and the importance of careful deployment and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urebeat.com/ai/gartner-gpt-5-is-here-but-the-infrastructure-to-support-true-agentic-ai-isnt-yet/" TargetMode="External"/><Relationship Id="rId11" Type="http://schemas.openxmlformats.org/officeDocument/2006/relationships/hyperlink" Target="https://openai.com/gpt-5/" TargetMode="External"/><Relationship Id="rId12" Type="http://schemas.openxmlformats.org/officeDocument/2006/relationships/hyperlink" Target="https://openai.com/index/introducing-gpt-5-for-developers/" TargetMode="External"/><Relationship Id="rId13" Type="http://schemas.openxmlformats.org/officeDocument/2006/relationships/hyperlink" Target="https://www.gartner.com/en/insights/gartner-hype-cycle" TargetMode="External"/><Relationship Id="rId14" Type="http://schemas.openxmlformats.org/officeDocument/2006/relationships/hyperlink" Target="https://openai.com/index/stargate-advances-with-partnership-with-oracle/" TargetMode="External"/><Relationship Id="rId15" Type="http://schemas.openxmlformats.org/officeDocument/2006/relationships/hyperlink" Target="https://www.tomsguide.com/ai/chatgpt-4o-is-coming-back-after-massive-gpt-5-backlash-heres-what-happe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