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Columbia tribunal highlights legal risks of AI chatbot errors for corporations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generative AI tools like chatbots become increasingly integrated into business operations to enhance efficiency and customer service, companies face mounting legal risks stemming from these systems' unpredictable outputs. A recent British Columbia Civil Resolution Tribunal decision in Moffatt v. Air Canada underlines the exposure companies can face. In this case, an AI chatbot provided inaccurate information about bereavement fare refunds, leading a customer to overpay for a ticket and subsequently be denied a refund. The tribunal held Air Canada liable for negligent misrepresentation, explicitly rejecting the notion that the chatbot could be treated as a separate legal entity from the company itself.</w:t>
      </w:r>
      <w:r/>
    </w:p>
    <w:p>
      <w:r/>
      <w:r>
        <w:t>This ruling is a stark alert to corporate counsel: AI vendor contracts, often adapted from traditional software agreements, may not adequately address the unique and evolving risks posed by AI systems. Traditional contracts typically assume deterministic software behaviour—fixed, predictable processes that comply strictly with coded logic. However, AI, especially systems powered by large language models or machine learning, functions probabilistically and adaptively, generating outputs based on complex statistical patterns derived from extensive and often opaque datasets. This can result in so-called "hallucinations" (inaccurate or fabricated information), bias, non-compliance with regulations, and outputs that evolve unpredictably, which are not contemplated in standard contract language.</w:t>
      </w:r>
      <w:r/>
    </w:p>
    <w:p>
      <w:r/>
      <w:r>
        <w:t>Most software-as-a-service (SaaS) agreements for AI tools include broad disclaimers that limit vendor liability, often stating outputs are "for informational purposes only" and excluding warranties on accuracy. Indemnity provisions frequently cover only intellectual property infringement rather than harms relating to regulatory fines, discriminatory results, or business disruptions generated by the AI. Service-level agreements (SLAs) might ensure uptime but rarely address critical issues like response times for mitigating harmful content. Vendors are increasingly expanding disclaimers to exclude all liability arising from reliance on AI outputs, shifting the full burden of risk to the deploying company—which usually lacks insight into the AI model’s training data, logic, or ongoing updates.</w:t>
      </w:r>
      <w:r/>
    </w:p>
    <w:p>
      <w:r/>
      <w:r>
        <w:t>Industry experts stress that AI vendor contracts must be reimagined as dynamic risk-transfer instruments, not mere IT purchase documents. Counsel need to ensure AI-specific protections are embedded in agreements to avoid costly litigation and regulatory consequences. Key areas requiring attention include:</w:t>
      </w:r>
      <w:r/>
    </w:p>
    <w:p>
      <w:r/>
      <w:r>
        <w:t xml:space="preserve">1. </w:t>
      </w:r>
      <w:r>
        <w:rPr>
          <w:b/>
        </w:rPr>
        <w:t>Output Liability and Indemnification</w:t>
      </w:r>
      <w:r>
        <w:t>: Contracts should demand indemnity covering third-party claims arising from AI-generated outputs, beyond intellectual property issues. This is critical for companies in regulated sectors such as finance, healthcare, and employment. Legal counsel should negotiate representations confirming lawful sourcing and use of training data. Where vendors resist indemnity, companies should seek evidence of errors and omissions (E&amp;O) insurance and consider capping vendor liability proportionally to contract value.</w:t>
      </w:r>
      <w:r/>
    </w:p>
    <w:p>
      <w:r/>
      <w:r>
        <w:t xml:space="preserve">2. </w:t>
      </w:r>
      <w:r>
        <w:rPr>
          <w:b/>
        </w:rPr>
        <w:t>Performance and Safety Warranties</w:t>
      </w:r>
      <w:r>
        <w:t>: AI systems should carry warranties against intentionally misleading or unlawful outputs under normal operation. Contracts should require vendors to monitor and mitigate risks like model drift, bias, and unsafe behaviour through periodic reviews and retraining. SLAs must go beyond uptime and stipulate timeframes for identifying and correcting harmful outputs.</w:t>
      </w:r>
      <w:r/>
    </w:p>
    <w:p>
      <w:r/>
      <w:r>
        <w:t xml:space="preserve">3. </w:t>
      </w:r>
      <w:r>
        <w:rPr>
          <w:b/>
        </w:rPr>
        <w:t>Audit and Transparency Rights</w:t>
      </w:r>
      <w:r>
        <w:t>: To meet compliance obligations under evolving regulatory frameworks such as the EU AI Act and GDPR, companies must secure rights to documentation concerning training data, update schedules, model changes, performance, and safety testing. Transparency clauses enable due diligence and supervisory oversight.</w:t>
      </w:r>
      <w:r/>
    </w:p>
    <w:p>
      <w:r/>
      <w:r>
        <w:t xml:space="preserve">4. </w:t>
      </w:r>
      <w:r>
        <w:rPr>
          <w:b/>
        </w:rPr>
        <w:t>Human-in-the-Loop and Fail-Safe Mechanisms</w:t>
      </w:r>
      <w:r>
        <w:t>: Agreements should guarantee that AI tools can operate under human supervision, especially in high-risk applications, allowing companies to intercept erroneous or harmful outputs before they impact end users.</w:t>
      </w:r>
      <w:r/>
    </w:p>
    <w:p>
      <w:r/>
      <w:r>
        <w:t xml:space="preserve">5. </w:t>
      </w:r>
      <w:r>
        <w:rPr>
          <w:b/>
        </w:rPr>
        <w:t>Exit and Suspension Clauses</w:t>
      </w:r>
      <w:r>
        <w:t>: Contracts must explicitly provide for suspension or termination if AI outputs become harmful, discriminatory, or legally non-compliant. Remedies should extend beyond refunds to include vendor cooperation in mitigation efforts, legal defence, and user notification. Provisions for mandated retraining under specified conditions help maintain output quality.</w:t>
      </w:r>
      <w:r/>
    </w:p>
    <w:p>
      <w:r/>
      <w:r>
        <w:t xml:space="preserve">The necessity of these protections is echoed across various industries and legal analyses. For instance, legal professionals emphasize the importance of robust warranties and indemnities addressing performance, intellectual property, and compliance issues in AI vendor agreements. Regular audits and governance mechanisms are vital to confirm AI systems operate as expected and adhere to regulatory terms. In healthcare, indemnification clauses have evolved to encompass regulatory risks like privacy breaches, data misuse, and bias-related claims, with shared responsibility models and insurance requirements becoming standard. </w:t>
      </w:r>
      <w:r/>
    </w:p>
    <w:p>
      <w:r/>
      <w:r>
        <w:t>Moreover, experts underscore the importance of clear contract language defining human oversight and involvement, maintaining comprehensive technical documentation, and preserving termination rights for non-compliance, thus enhancing control over AI deployments. Increased transparency and audit rights are deemed crucial for managing potential inaccuracies and biases in AI systems, thereby mitigating risks effectively.</w:t>
      </w:r>
      <w:r/>
    </w:p>
    <w:p>
      <w:r/>
      <w:r>
        <w:t>In fast-evolving AI landscapes, corporate counsel are on the front lines of safeguarding their organisations. By moving beyond standard technology contracts and treating AI agreements as sophisticated risk-allocation tools tailored to generative and adaptive systems, companies can better harness AI’s transformative potential while avoiding costly legal pitfalls. As the legal environment and AI capabilities advance, ongoing diligence in contract negotiation, risk assessment, and regulatory compliance remains essential.</w:t>
      </w:r>
      <w:r/>
    </w:p>
    <w:p>
      <w:r/>
      <w:r>
        <w:t>In an era where AI-driven risk is both a technical and legal challenge, the question every contracting party must confront is not simply what AI can do—but who will bear responsibility when it goes wrong. According to attorney Harshita K. Ganesh at CMBG3 Law in Boston, understanding and addressing this question through tailored contractual protections is vital for companies to navigate the promising yet perilous path of AI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https://rilawyersweekly.com/blog/2025/08/25/ai-vendor-contracts-legal-risks/</w:t>
        </w:r>
      </w:hyperlink>
      <w:r>
        <w:t xml:space="preserve"> - Please view link - unable to able to access data</w:t>
      </w:r>
      <w:r/>
    </w:p>
    <w:p>
      <w:pPr>
        <w:pStyle w:val="ListNumber"/>
        <w:spacing w:line="240" w:lineRule="auto"/>
        <w:ind w:left="720"/>
      </w:pPr>
      <w:r/>
      <w:hyperlink r:id="rId11">
        <w:r>
          <w:rPr>
            <w:color w:val="0000EE"/>
            <w:u w:val="single"/>
          </w:rPr>
          <w:t>https://www.torys.com/our-latest-thinking/resources/forging-your-ai-path/considerations-in-procuring-vendor-ai</w:t>
        </w:r>
      </w:hyperlink>
      <w:r>
        <w:t xml:space="preserve"> - This article discusses key considerations when procuring AI solutions, including the importance of strong warranties, indemnities, and transparency. It highlights the need for contracts to address performance standards, intellectual property rights, and compliance with applicable laws. The piece also emphasizes the necessity for audit rights and governance mechanisms to ensure AI systems operate as intended and adhere to agreed-upon terms. Additionally, it advises on the inclusion of remedies and exit strategies in contracts to mitigate potential risks associated with AI deployments.</w:t>
      </w:r>
      <w:r/>
    </w:p>
    <w:p>
      <w:pPr>
        <w:pStyle w:val="ListNumber"/>
        <w:spacing w:line="240" w:lineRule="auto"/>
        <w:ind w:left="720"/>
      </w:pPr>
      <w:r/>
      <w:hyperlink r:id="rId12">
        <w:r>
          <w:rPr>
            <w:color w:val="0000EE"/>
            <w:u w:val="single"/>
          </w:rPr>
          <w:t>https://www.loganpartners.com/generative-ai-opportunities-threats-and-legal-considerations-2/</w:t>
        </w:r>
      </w:hyperlink>
      <w:r>
        <w:t xml:space="preserve"> - This article explores the legal considerations in AI contracts, focusing on human intervention in AI operations, technical documentation, and audit rights. It underscores the importance of defining the extent of human involvement in AI systems and maintaining detailed records for regulatory compliance. The piece also highlights the necessity for regular audits to ensure adherence to contractual and regulatory obligations, emphasizing the need for clear termination and exit strategies in cases of non-compliance with AI regulations.</w:t>
      </w:r>
      <w:r/>
    </w:p>
    <w:p>
      <w:pPr>
        <w:pStyle w:val="ListNumber"/>
        <w:spacing w:line="240" w:lineRule="auto"/>
        <w:ind w:left="720"/>
      </w:pPr>
      <w:r/>
      <w:hyperlink r:id="rId13">
        <w:r>
          <w:rPr>
            <w:color w:val="0000EE"/>
            <w:u w:val="single"/>
          </w:rPr>
          <w:t>https://kennedyslaw.com/en/thought-leadership/article/2025/ai-and-commercial-contracts-five-clauses-in-house-legal-teams-should-review-now-ukeu/</w:t>
        </w:r>
      </w:hyperlink>
      <w:r>
        <w:t xml:space="preserve"> - This article outlines five critical clauses that in-house legal teams should review in AI and commercial contracts, focusing on indemnities, warranties, data usage rights, audit rights, and transparency. It discusses the importance of broad indemnities covering various risks, warranties confirming lawful data usage, and the necessity for audit rights to ensure compliance with regulatory obligations. The piece also emphasizes the need for transparency in AI systems to address potential biases and inaccuracies, advising on the inclusion of specific clauses to mitigate legal and commercial risks.</w:t>
      </w:r>
      <w:r/>
    </w:p>
    <w:p>
      <w:pPr>
        <w:pStyle w:val="ListNumber"/>
        <w:spacing w:line="240" w:lineRule="auto"/>
        <w:ind w:left="720"/>
      </w:pPr>
      <w:r/>
      <w:hyperlink r:id="rId14">
        <w:r>
          <w:rPr>
            <w:color w:val="0000EE"/>
            <w:u w:val="single"/>
          </w:rPr>
          <w:t>https://www.afslaw.com/perspectives/health-care-counsel-blog/ai-service-agreements-health-care-indemnification-clauses</w:t>
        </w:r>
      </w:hyperlink>
      <w:r>
        <w:t xml:space="preserve"> - This article examines the evolution of indemnification clauses in AI service agreements within the healthcare sector. It discusses the expansion of indemnities to cover new regulatory risks, including explainability, transparency failures, data misuse, privacy violations, and bias-related claims. The piece highlights the shift towards shared responsibility models and the importance of conditional and dynamic provisions in indemnity clauses. It also addresses the integration of insurance requirements and the increased complexity of negotiations due to evolving regulatory environments.</w:t>
      </w:r>
      <w:r/>
    </w:p>
    <w:p>
      <w:pPr>
        <w:pStyle w:val="ListNumber"/>
        <w:spacing w:line="240" w:lineRule="auto"/>
        <w:ind w:left="720"/>
      </w:pPr>
      <w:r/>
      <w:hyperlink r:id="rId15">
        <w:r>
          <w:rPr>
            <w:color w:val="0000EE"/>
            <w:u w:val="single"/>
          </w:rPr>
          <w:t>https://www.linkedin.com/pulse/eight-practical-ai-contract-clauses-in-house-tech-nour-langendorfer-hmqme</w:t>
        </w:r>
      </w:hyperlink>
      <w:r>
        <w:t xml:space="preserve"> - This article provides eight practical AI contract clauses for in-house and tech lawyers, focusing on liability and indemnification, audit and transparency rights, data usage rights, performance warranties, and termination rights. It emphasizes the need for clear indemnity clauses to allocate responsibility for AI-related issues, the importance of audit rights to verify AI system performance, and the necessity for data usage rights to protect against data misuse. The piece also discusses the inclusion of performance warranties and termination rights to address potential AI system failures.</w:t>
      </w:r>
      <w:r/>
    </w:p>
    <w:p>
      <w:pPr>
        <w:pStyle w:val="ListNumber"/>
        <w:spacing w:line="240" w:lineRule="auto"/>
        <w:ind w:left="720"/>
      </w:pPr>
      <w:r/>
      <w:hyperlink r:id="rId16">
        <w:r>
          <w:rPr>
            <w:color w:val="0000EE"/>
            <w:u w:val="single"/>
          </w:rPr>
          <w:t>https://www.americanbar.org/groups/business_law/resources/business-law-today/2023-september/avoiding-ai-agreement-dystopia-managing-key-risks-in-ai-licensing-deals/</w:t>
        </w:r>
      </w:hyperlink>
      <w:r>
        <w:t xml:space="preserve"> - This article discusses key risks in AI licensing deals, including liability sources, representations, warranties, disclaimers, and indemnities. It highlights the importance of addressing noncompliance with AI-specific legislation and existing laws, such as privacy and consumer protection. The piece advises on seeking express legal representations and warranties from vendors regarding ownership rights, non-infringement, compliance with applicable laws, and the absence of harmful software. It also emphasizes the need for indemnities covering vendor compliance failures, fraud, negligence, and other critical areas to balance the agreement.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lawyersweekly.com/blog/2025/08/25/ai-vendor-contracts-legal-risks/" TargetMode="External"/><Relationship Id="rId11" Type="http://schemas.openxmlformats.org/officeDocument/2006/relationships/hyperlink" Target="https://www.torys.com/our-latest-thinking/resources/forging-your-ai-path/considerations-in-procuring-vendor-ai" TargetMode="External"/><Relationship Id="rId12" Type="http://schemas.openxmlformats.org/officeDocument/2006/relationships/hyperlink" Target="https://www.loganpartners.com/generative-ai-opportunities-threats-and-legal-considerations-2/" TargetMode="External"/><Relationship Id="rId13" Type="http://schemas.openxmlformats.org/officeDocument/2006/relationships/hyperlink" Target="https://kennedyslaw.com/en/thought-leadership/article/2025/ai-and-commercial-contracts-five-clauses-in-house-legal-teams-should-review-now-ukeu/" TargetMode="External"/><Relationship Id="rId14" Type="http://schemas.openxmlformats.org/officeDocument/2006/relationships/hyperlink" Target="https://www.afslaw.com/perspectives/health-care-counsel-blog/ai-service-agreements-health-care-indemnification-clauses" TargetMode="External"/><Relationship Id="rId15" Type="http://schemas.openxmlformats.org/officeDocument/2006/relationships/hyperlink" Target="https://www.linkedin.com/pulse/eight-practical-ai-contract-clauses-in-house-tech-nour-langendorfer-hmqme" TargetMode="External"/><Relationship Id="rId16" Type="http://schemas.openxmlformats.org/officeDocument/2006/relationships/hyperlink" Target="https://www.americanbar.org/groups/business_law/resources/business-law-today/2023-september/avoiding-ai-agreement-dystopia-managing-key-risks-in-ai-licensing-d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