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Furkat Kasimov’s disciplined AI framework champions organisational learning to outpace competitors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 entrepreneur Furkat Kasimov has articulated a compelling framework for harnessing artificial intelligence (AI) to boost business productivity, encapsulated in his equation: AI plus human intelligence equals productivity improvement (AI + HI = PI). Kasimov’s approach, presented in detail by the Chicago Tribune, stresses a balanced partnership where AI drives speed, scale, and consistency, while human creativity, judgment, and accountability infuse value that machines cannot replicate. This model is designed not as a flashy promise but as a disciplined, measurable method for achieving enduring competitive advantage.</w:t>
      </w:r>
      <w:r/>
    </w:p>
    <w:p>
      <w:r/>
      <w:r>
        <w:t>Central to Kasimov’s strategy is a meticulous understanding and mapping of workflows before applying AI automation. He observes that businesses often operate with conflicting perspectives of processes—from formal manuals to frontline realities—and these discrepancies must be reconciled. By laying out four overlapping views of the same workflow, Kasimov identifies operational gaps that can impede scalability unless addressed. He argues that process redesign is the critical first step before any AI intervention, ensuring automation removes friction rather than complicates work.</w:t>
      </w:r>
      <w:r/>
    </w:p>
    <w:p>
      <w:r/>
      <w:r>
        <w:t>Kasimov’s concept of a “Data Wheel” embodies the learning engine behind AI-enhanced productivity. This feedback loop captures contextual workflow data and uses results to continuously refine operations. Accelerating the cycle of data collection and feedback enhances organisational learning speed—a capability Kasimov claims provides an edge that competitors cannot buy. In practice, this includes innovations like reinventing meetings to emphasise preparation, recording, transcription, and AI-powered review, resulting in more inventive and focused discussions.</w:t>
      </w:r>
      <w:r/>
    </w:p>
    <w:p>
      <w:r/>
      <w:r>
        <w:t>Measuring AI’s financial impact anchors Kasimov’s philosophy in business reality. He insists that AI implementations must translate into tangible metrics—time saved, cost reductions, improved conversion rates, or fraud prevention—to justify investment. Examples from his businesses show that AI coding assistants have halved developers’ time on routine tasks, AI-driven lead allocation has boosted sales margins, and fraud detection systems have become dynamically adaptive, cutting losses. Kasimov underscores that revenue, margin, and risk improvements quantify AI’s value concretely.</w:t>
      </w:r>
      <w:r/>
    </w:p>
    <w:p>
      <w:r/>
      <w:r>
        <w:t>When deciding whether to build AI systems internally or buy off-the-shelf solutions, Kasimov recommends pragmatism. Most firms benefit from starting with existing tools, maintaining flexibility by testing actual workloads, designing modular integrations, and protecting data ownership through savvy contracts. This strategic openness allows swift vendor shifts if performance or costs become unfavourable, underscoring adaptability as crucial to sustainable AI advantage.</w:t>
      </w:r>
      <w:r/>
    </w:p>
    <w:p>
      <w:r/>
      <w:r>
        <w:t>Technically, Kasimov employs AI judiciously: general-purpose large language models handle straightforward functions like summarisation, retrieval-augmented generation tackles company-specific knowledge tasks, and fine-tuned models are reserved for high-stakes scenarios demanding precision. His emphasis is on augmenting human capabilities, providing “superpowers” rather than replacing talent. Light-touch AI that keeps humans in control typifies his approach.</w:t>
      </w:r>
      <w:r/>
    </w:p>
    <w:p>
      <w:r/>
      <w:r>
        <w:t>Kasimov’s doctrine distinguishes itself by situating AI success not in the novelty of tools but in an organisation’s capacity to integrate AI with human insight systematically and measure outcomes rigorously. “Competitors can buy the same tools tomorrow,” he says, “but what they can’t buy is your learning velocity—how fast your Data Wheel spins and how consistently you turn that into outcomes.”</w:t>
      </w:r>
      <w:r/>
    </w:p>
    <w:p>
      <w:r/>
      <w:r>
        <w:t>This philosophy aligns with broader research illuminating AI’s transformative potential in knowledge work. A study on human-AI collaboration from the MindMeld platform involving over two thousand participants found that human-AI teams communicated 137% more and achieved a 60% productivity boost per worker compared to human-only teams. The research highlighted that AI’s capacity to handle lower-level tasks enables humans to focus on creative content generation—a dynamic echoed in Kasimov’s model.</w:t>
      </w:r>
      <w:r/>
    </w:p>
    <w:p>
      <w:r/>
      <w:r>
        <w:t>Moreover, an academic perspective on AI as a cognitive engine suggests that the current AI revolution represents a profound productivity shift, comparable in historical significance to the advent of human language, which transformed knowledge transmission. This new paradigm intensifies the need for organisational adaptation in skills, decision-making, and policy frameworks, reinforcing Kasimov’s emphasis on human-AI synergy and continuous learning as the key to sustainable advantage.</w:t>
      </w:r>
      <w:r/>
    </w:p>
    <w:p>
      <w:r/>
      <w:r>
        <w:t>Locally, Kasimov’s own region, Kazakhstan, exemplifies the rising influence of AI in driving productivity, with developers there achieving a 16.8% productivity increase through AI tools—exceeding global regional averages according to Stanford University research. This reflects a fertile environment for Kasimov’s ideas and underscores the strategic importance of fostering AI adoption beyond just corporate narratives.</w:t>
      </w:r>
      <w:r/>
    </w:p>
    <w:p>
      <w:r/>
      <w:r>
        <w:t>Furkat Kasimov’s broader business philosophy also incorporates foresight on long-term resilience. His concept of “Futurisk,” which involves mapping potential risks to prepare businesses for future challenges, complements his AI-driven productivity playbook. By building systems designed for durability and stability, Kasimov aims to create enterprises that endure beyond short-term gains, supporting sustainable value for all stakeholders.</w:t>
      </w:r>
      <w:r/>
    </w:p>
    <w:p>
      <w:r/>
      <w:r>
        <w:t>In summary, Kasimov advocates a measured, data-driven approach to AI adoption that integrates precise workflow analysis, a fast-learning feedback loop, careful selection of AI techniques, and quantifiable business impact. Central to this is the recognition that AI’s transformative power lies not in technology alone but in disciplined human-AI partnership and organisational learning velocity—a combination that promises a lasting, non-replicable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https://www.chicagotribune.com/2025/11/03/the-measurable-power-of-ai-inside-kasimovs-playbook-for-turning-ai-into-revenue/</w:t>
        </w:r>
      </w:hyperlink>
      <w:r>
        <w:t xml:space="preserve"> - Please view link - unable to able to access data</w:t>
      </w:r>
      <w:r/>
    </w:p>
    <w:p>
      <w:pPr>
        <w:pStyle w:val="ListNumber"/>
        <w:spacing w:line="240" w:lineRule="auto"/>
        <w:ind w:left="720"/>
      </w:pPr>
      <w:r/>
      <w:hyperlink r:id="rId11">
        <w:r>
          <w:rPr>
            <w:color w:val="0000EE"/>
            <w:u w:val="single"/>
          </w:rPr>
          <w:t>https://venturebeat.com/business/furkat-kasimov-angel-investor-with-a-playbook-for-services-that-outlast-the</w:t>
        </w:r>
      </w:hyperlink>
      <w:r>
        <w:t xml:space="preserve"> - This article discusses Furkat Kasimov's approach to building durable businesses by focusing on long-term sustainability rather than short-term gains. It highlights his emphasis on evaluating companies based on their potential for enduring relevance and the importance of systems and models that remain stable over time. Kasimov's concept of 'Futurisk' is introduced, which involves proactively mapping potential risks to prepare businesses for future challenges. The piece also details his experience in building a global affiliate network and online training academy, underscoring his commitment to creating value for all stakeholders. (</w:t>
      </w:r>
      <w:hyperlink r:id="rId12">
        <w:r>
          <w:rPr>
            <w:color w:val="0000EE"/>
            <w:u w:val="single"/>
          </w:rPr>
          <w:t>venturebeat.com</w:t>
        </w:r>
      </w:hyperlink>
      <w:r>
        <w:t>)</w:t>
      </w:r>
      <w:r/>
    </w:p>
    <w:p>
      <w:pPr>
        <w:pStyle w:val="ListNumber"/>
        <w:spacing w:line="240" w:lineRule="auto"/>
        <w:ind w:left="720"/>
      </w:pPr>
      <w:r/>
      <w:hyperlink r:id="rId13">
        <w:r>
          <w:rPr>
            <w:color w:val="0000EE"/>
            <w:u w:val="single"/>
          </w:rPr>
          <w:t>https://astanatimes.com/2025/05/kazakhstan-central-asias-ai-powerhouse/</w:t>
        </w:r>
      </w:hyperlink>
      <w:r>
        <w:t xml:space="preserve"> - This article examines Kazakhstan's rapid advancement in artificial intelligence (AI) and its impact on the nation's tech sector. It presents findings from Stanford University's research, revealing that developers in Kazakhstan using AI have achieved a 16.8% increase in productivity, surpassing both regional and global averages. The piece also discusses the challenges posed by language barriers, noting that developers interacting with AI in English experienced higher productivity gains compared to those using Russian or Kazakh. The article highlights Kazakhstan's strategic government investments and initiatives aimed at fostering AI adoption and innovation. (</w:t>
      </w:r>
      <w:hyperlink r:id="rId14">
        <w:r>
          <w:rPr>
            <w:color w:val="0000EE"/>
            <w:u w:val="single"/>
          </w:rPr>
          <w:t>astanatimes.com</w:t>
        </w:r>
      </w:hyperlink>
      <w:r>
        <w:t>)</w:t>
      </w:r>
      <w:r/>
    </w:p>
    <w:p>
      <w:pPr>
        <w:pStyle w:val="ListNumber"/>
        <w:spacing w:line="240" w:lineRule="auto"/>
        <w:ind w:left="720"/>
      </w:pPr>
      <w:r/>
      <w:hyperlink r:id="rId15">
        <w:r>
          <w:rPr>
            <w:color w:val="0000EE"/>
            <w:u w:val="single"/>
          </w:rPr>
          <w:t>https://arxiv.org/abs/2503.18238</w:t>
        </w:r>
      </w:hyperlink>
      <w:r>
        <w:t xml:space="preserve"> - This academic paper presents a large-scale marketing experiment conducted on the MindMeld platform, which enables collaboration between humans and AI agents. The study involved 2,310 participants who were randomly assigned to human-human and human-AI teams. The findings indicate that collaborating with AI agents increased communication by 137% and allowed humans to focus more on content generation, leading to a 60% increase in productivity per worker. The research also explores how AI personality traits can complement human personalities to enhance collaboration and improve performance. (</w:t>
      </w:r>
      <w:hyperlink r:id="rId16">
        <w:r>
          <w:rPr>
            <w:color w:val="0000EE"/>
            <w:u w:val="single"/>
          </w:rPr>
          <w:t>arxiv.org</w:t>
        </w:r>
      </w:hyperlink>
      <w:r>
        <w:t>)</w:t>
      </w:r>
      <w:r/>
    </w:p>
    <w:p>
      <w:pPr>
        <w:pStyle w:val="ListNumber"/>
        <w:spacing w:line="240" w:lineRule="auto"/>
        <w:ind w:left="720"/>
      </w:pPr>
      <w:r/>
      <w:hyperlink r:id="rId17">
        <w:r>
          <w:rPr>
            <w:color w:val="0000EE"/>
            <w:u w:val="single"/>
          </w:rPr>
          <w:t>https://arxiv.org/abs/2506.10281</w:t>
        </w:r>
      </w:hyperlink>
      <w:r>
        <w:t xml:space="preserve"> - This paper reframes artificial intelligence (AI) as a cognitive engine driving a new productivity revolution, distinct from the Industrial Revolution's physical thrust. It compares AI's emergence to historical leaps in information technology, demonstrating how it amplifies knowledge work. The authors argue that AI functions as an engine of cognition, akin to how human language revolutionized knowledge, heralding a new productivity paradigm. The paper discusses the implications of this revolution on skills, organizations, and policies, emphasizing the need to rethink these areas in light of AI's transformative potential. (</w:t>
      </w:r>
      <w:hyperlink r:id="rId18">
        <w:r>
          <w:rPr>
            <w:color w:val="0000EE"/>
            <w:u w:val="single"/>
          </w:rPr>
          <w:t>arxiv.org</w:t>
        </w:r>
      </w:hyperlink>
      <w:r>
        <w:t>)</w:t>
      </w:r>
      <w:r/>
    </w:p>
    <w:p>
      <w:pPr>
        <w:pStyle w:val="ListNumber"/>
        <w:spacing w:line="240" w:lineRule="auto"/>
        <w:ind w:left="720"/>
      </w:pPr>
      <w:r/>
      <w:hyperlink r:id="rId19">
        <w:r>
          <w:rPr>
            <w:color w:val="0000EE"/>
            <w:u w:val="single"/>
          </w:rPr>
          <w:t>https://arxiv.org/abs/2505.18687</w:t>
        </w:r>
      </w:hyperlink>
      <w:r>
        <w:t xml:space="preserve"> - This study derives a closed-form condition under which artificial intelligence (AI) capital profits could sustainably finance a universal basic income (UBI) without additional taxes or new job creation. It analyzes how the AI capability threshold—defined as the productivity level of AI relative to pre-AI automation—varies under different economic scenarios. The findings suggest that AI systems must achieve approximately 5-6 times existing automation productivity to finance an 11% of GDP UBI, highlighting the significant economic implications of AI's growing capabilities. (</w:t>
      </w:r>
      <w:hyperlink r:id="rId20">
        <w:r>
          <w:rPr>
            <w:color w:val="0000EE"/>
            <w:u w:val="single"/>
          </w:rPr>
          <w:t>arxiv.org</w:t>
        </w:r>
      </w:hyperlink>
      <w:r>
        <w:t>)</w:t>
      </w:r>
      <w:r/>
    </w:p>
    <w:p>
      <w:pPr>
        <w:pStyle w:val="ListNumber"/>
        <w:spacing w:line="240" w:lineRule="auto"/>
        <w:ind w:left="720"/>
      </w:pPr>
      <w:r/>
      <w:hyperlink r:id="rId21">
        <w:r>
          <w:rPr>
            <w:color w:val="0000EE"/>
            <w:u w:val="single"/>
          </w:rPr>
          <w:t>https://arxiv.org/abs/2504.20903</w:t>
        </w:r>
      </w:hyperlink>
      <w:r>
        <w:t xml:space="preserve"> - This paper develops an agent-based simulation to formalize AI-human collaboration as a function of task structure, advancing a generalizable framework for strategic decision-making in organizations. The study reveals that in modular tasks, AI often substitutes for humans, delivering higher payoffs unless human expertise is very high. In sequenced tasks, complementarities emerge, with aggregate performance maximized when an expert human initiates the search and AI subsequently refines it. The research provides insights into how AI-human collaboration effectiveness depends on the underlying task structure, offering a transferable lens for strategic decision-making across diverse organizational settings. (</w:t>
      </w:r>
      <w:hyperlink r:id="rId22">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cagotribune.com/2025/11/03/the-measurable-power-of-ai-inside-kasimovs-playbook-for-turning-ai-into-revenue/" TargetMode="External"/><Relationship Id="rId11" Type="http://schemas.openxmlformats.org/officeDocument/2006/relationships/hyperlink" Target="https://venturebeat.com/business/furkat-kasimov-angel-investor-with-a-playbook-for-services-that-outlast-the" TargetMode="External"/><Relationship Id="rId12" Type="http://schemas.openxmlformats.org/officeDocument/2006/relationships/hyperlink" Target="https://venturebeat.com/business/furkat-kasimov-angel-investor-with-a-playbook-for-services-that-outlast-the?utm_source=openai" TargetMode="External"/><Relationship Id="rId13" Type="http://schemas.openxmlformats.org/officeDocument/2006/relationships/hyperlink" Target="https://astanatimes.com/2025/05/kazakhstan-central-asias-ai-powerhouse/" TargetMode="External"/><Relationship Id="rId14" Type="http://schemas.openxmlformats.org/officeDocument/2006/relationships/hyperlink" Target="https://astanatimes.com/2025/05/kazakhstan-central-asias-ai-powerhouse/?utm_source=openai" TargetMode="External"/><Relationship Id="rId15" Type="http://schemas.openxmlformats.org/officeDocument/2006/relationships/hyperlink" Target="https://arxiv.org/abs/2503.18238" TargetMode="External"/><Relationship Id="rId16" Type="http://schemas.openxmlformats.org/officeDocument/2006/relationships/hyperlink" Target="https://arxiv.org/abs/2503.18238?utm_source=openai" TargetMode="External"/><Relationship Id="rId17" Type="http://schemas.openxmlformats.org/officeDocument/2006/relationships/hyperlink" Target="https://arxiv.org/abs/2506.10281" TargetMode="External"/><Relationship Id="rId18" Type="http://schemas.openxmlformats.org/officeDocument/2006/relationships/hyperlink" Target="https://arxiv.org/abs/2506.10281?utm_source=openai" TargetMode="External"/><Relationship Id="rId19" Type="http://schemas.openxmlformats.org/officeDocument/2006/relationships/hyperlink" Target="https://arxiv.org/abs/2505.18687" TargetMode="External"/><Relationship Id="rId20" Type="http://schemas.openxmlformats.org/officeDocument/2006/relationships/hyperlink" Target="https://arxiv.org/abs/2505.18687?utm_source=openai" TargetMode="External"/><Relationship Id="rId21" Type="http://schemas.openxmlformats.org/officeDocument/2006/relationships/hyperlink" Target="https://arxiv.org/abs/2504.20903" TargetMode="External"/><Relationship Id="rId22" Type="http://schemas.openxmlformats.org/officeDocument/2006/relationships/hyperlink" Target="https://arxiv.org/abs/2504.2090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