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landscape of automated decision‑making and its regulatory challenges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Automated decision‑making (ADM) is the use of computer systems to make, or to substantially contribute to making, decisions with limited or no human intervention. It covers a spectrum from simple rule‑based systems (for example, fixed criteria for loan approvals) to complex AI and machine‑learning models that infer patterns and produce outcomes.</w:t>
      </w:r>
      <w:r/>
    </w:p>
    <w:p>
      <w:r/>
      <w:r>
        <w:t>Key points - Typical uses: credit scoring, recruitment filtering, pricing/ranking on platforms, welfare eligibility checks, automated customer decisions. - Inputs: personal and non‑personal data, sometimes aggregated or third‑party datasets. - Risks: algorithmic bias and unlawful discrimination; “black box” opacity that limits explainability and liability attribution; misleading or deceptive outputs; data quality, re‑identification and cybersecurity problems. - Risk management: data governance, privacy impact and security assessments, human oversight/referral pathways, testing/adversarial checks, version control, monitoring and redress mechanisms. - Regulatory context (examples): the EU GDPR (Article 22) restricts solely automated decisions with significant effects and requires safeguards and explanation rights; Australia is updating its Privacy Act to require ADM transparency in privacy policies and is moving toward further rights and AI guidance; other regulators (consumer, workplace, sectoral) are also active.</w:t>
      </w:r>
      <w:r/>
    </w:p>
    <w:p>
      <w:r/>
      <w:r>
        <w:t>In short: ADM automates decisions at varying levels of autonomy and complexity; it can deliver efficiency but requires careful governance, transparency and legal compliance where outcomes significantly affect people.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https://www.mondaq.com/unitedstates/privacy-protection/1714862/automated-decision-making</w:t>
        </w:r>
      </w:hyperlink>
      <w:r>
        <w:t xml:space="preserve"> - Please view link - unable to able to access data</w:t>
      </w:r>
      <w:r/>
    </w:p>
    <w:p>
      <w:pPr>
        <w:pStyle w:val="ListNumber"/>
        <w:spacing w:line="240" w:lineRule="auto"/>
        <w:ind w:left="720"/>
      </w:pPr>
      <w:r/>
      <w:hyperlink r:id="rId11">
        <w:r>
          <w:rPr>
            <w:color w:val="0000EE"/>
            <w:u w:val="single"/>
          </w:rPr>
          <w:t>https://www.oaic.gov.au/engage-with-us/submissions/disr-proposals-paper-for-introducing-mandatory-guardrails-for-ai-in-high-risk-settings</w:t>
        </w:r>
      </w:hyperlink>
      <w:r>
        <w:t xml:space="preserve"> - The Office of the Australian Information Commissioner (OAIC) submitted feedback on the Department of Industry, Science and Resources' (DISR) proposals for mandatory guardrails for AI in high-risk settings. The submission highlights the intersection of these proposals with broader government actions, including reforms to the Privacy Act. The Privacy and Other Legislation Amendment Bill 2024, introduced on 12 September 2024, proposes amendments to the Australian Privacy Principles (APPs) to require entities to include information in their privacy policies about automated decisions that significantly affect individuals' rights or interests. This aims to provide individuals with greater transparency about how their personal information is handled, complementing the government's efforts to develop a comprehensive legal framework for the use of automated decision-making systems in compliance with administrative law principles. (</w:t>
      </w:r>
      <w:hyperlink r:id="rId12">
        <w:r>
          <w:rPr>
            <w:color w:val="0000EE"/>
            <w:u w:val="single"/>
          </w:rPr>
          <w:t>oaic.gov.au</w:t>
        </w:r>
      </w:hyperlink>
      <w:r>
        <w:t>)</w:t>
      </w:r>
      <w:r/>
    </w:p>
    <w:p>
      <w:pPr>
        <w:pStyle w:val="ListNumber"/>
        <w:spacing w:line="240" w:lineRule="auto"/>
        <w:ind w:left="720"/>
      </w:pPr>
      <w:r/>
      <w:hyperlink r:id="rId13">
        <w:r>
          <w:rPr>
            <w:color w:val="0000EE"/>
            <w:u w:val="single"/>
          </w:rPr>
          <w:t>https://www.whitecase.com/insight-our-thinking/ai-watch-global-regulatory-tracker-australia</w:t>
        </w:r>
      </w:hyperlink>
      <w:r>
        <w:t xml:space="preserve"> - White &amp; Case LLP's AI Watch provides an overview of the regulatory landscape for artificial intelligence (AI) in Australia. It notes that there is currently no AI-specific regulator in the country. Existing federal regulators, including the OAIC, the eSafety Commissioner, ASIC, and the ACCC, are active in the Australian marketplace and have demonstrated a willingness to provide compliance guidance in the absence of AI technology-specific legislation. The article also discusses enforcement powers and penalties, highlighting that the use, deployment, or development of AI may be subject to enforcement and penalties if it breaches other, non-AI specific statutes and regulations. For example, breaches of the Privacy Act can result in significant penalties. (</w:t>
      </w:r>
      <w:hyperlink r:id="rId14">
        <w:r>
          <w:rPr>
            <w:color w:val="0000EE"/>
            <w:u w:val="single"/>
          </w:rPr>
          <w:t>whitecase.com</w:t>
        </w:r>
      </w:hyperlink>
      <w:r>
        <w:t>)</w:t>
      </w:r>
      <w:r/>
    </w:p>
    <w:p>
      <w:pPr>
        <w:pStyle w:val="ListNumber"/>
        <w:spacing w:line="240" w:lineRule="auto"/>
        <w:ind w:left="720"/>
      </w:pPr>
      <w:r/>
      <w:hyperlink r:id="rId15">
        <w:r>
          <w:rPr>
            <w:color w:val="0000EE"/>
            <w:u w:val="single"/>
          </w:rPr>
          <w:t>https://www.aph.gov.au/Parliamentary_Business/Committees/Senate/Economics/Digitalplatforms/Report/Chapter_6_-_Algorithmic_transparency</w:t>
        </w:r>
      </w:hyperlink>
      <w:r>
        <w:t xml:space="preserve"> - Chapter 6 of the Australian Senate Economics Committee's report focuses on algorithmic transparency. It discusses the risks associated with automated decision-making (ADM), including the potential for creating or exacerbating existing online discrimination, bias, and market inequalities. The report highlights examples such as Airbnb's social scoring algorithm and Tinder's use of algorithms to create different charge rates based on user characteristics. It also notes that ADM can result in inaccurate decisions and create barriers for consumer redress. The committee emphasizes the need for transparency and oversight in the use of ADM to prevent these issues. (</w:t>
      </w:r>
      <w:hyperlink r:id="rId16">
        <w:r>
          <w:rPr>
            <w:color w:val="0000EE"/>
            <w:u w:val="single"/>
          </w:rPr>
          <w:t>aph.gov.au</w:t>
        </w:r>
      </w:hyperlink>
      <w:r>
        <w:t>)</w:t>
      </w:r>
      <w:r/>
    </w:p>
    <w:p>
      <w:pPr>
        <w:pStyle w:val="ListNumber"/>
        <w:spacing w:line="240" w:lineRule="auto"/>
        <w:ind w:left="720"/>
      </w:pPr>
      <w:r/>
      <w:hyperlink r:id="rId17">
        <w:r>
          <w:rPr>
            <w:color w:val="0000EE"/>
            <w:u w:val="single"/>
          </w:rPr>
          <w:t>https://www.independent.org/article/2022/06/09/automated-decision-making-privacy-regulations/</w:t>
        </w:r>
      </w:hyperlink>
      <w:r>
        <w:t xml:space="preserve"> - An article from the Independent Institute examines the evolving landscape of automated decision-making (ADM) and privacy regulations. It discusses how machine learning and AI are used to make automated decisions about consumers, such as in loan approvals and targeted advertising. The article highlights regulations like the California Privacy Rights Act (CPRA) and the European Union's General Data Protection Regulation (GDPR), which address ADM by requiring companies to be transparent about the logic and information involved. It also notes that the GDPR's Article 22 prohibits solely automated decisions that have a significant effect on individuals, unless certain conditions are met. (</w:t>
      </w:r>
      <w:hyperlink r:id="rId18">
        <w:r>
          <w:rPr>
            <w:color w:val="0000EE"/>
            <w:u w:val="single"/>
          </w:rPr>
          <w:t>independent.org</w:t>
        </w:r>
      </w:hyperlink>
      <w:r>
        <w:t>)</w:t>
      </w:r>
      <w:r/>
    </w:p>
    <w:p>
      <w:pPr>
        <w:pStyle w:val="ListNumber"/>
        <w:spacing w:line="240" w:lineRule="auto"/>
        <w:ind w:left="720"/>
      </w:pPr>
      <w:r/>
      <w:hyperlink r:id="rId19">
        <w:r>
          <w:rPr>
            <w:color w:val="0000EE"/>
            <w:u w:val="single"/>
          </w:rPr>
          <w:t>https://www.oaic.gov.au/engage-with-us/submissions/human-rights-and-technology-discussion-paper-submission-to-the-australian-human-rights-commission/</w:t>
        </w:r>
      </w:hyperlink>
      <w:r>
        <w:t xml:space="preserve"> - The OAIC's submission to the Australian Human Rights Commission's discussion paper on human rights and technology emphasizes the importance of transparency in automated decision-making (ADM). It supports the discussion paper's focus on transparency, noting that it promotes privacy self-management by requiring entities to explain how personal information is handled. The submission highlights that AI tools often use personal information in ways that are invisible or difficult to comprehend, making transparency crucial. It also suggests that notice and transparency requirements related to ADM should build on the foundations of the Privacy Act. (</w:t>
      </w:r>
      <w:hyperlink r:id="rId20">
        <w:r>
          <w:rPr>
            <w:color w:val="0000EE"/>
            <w:u w:val="single"/>
          </w:rPr>
          <w:t>oaic.gov.au</w:t>
        </w:r>
      </w:hyperlink>
      <w:r>
        <w:t>)</w:t>
      </w:r>
      <w:r/>
    </w:p>
    <w:p>
      <w:pPr>
        <w:pStyle w:val="ListNumber"/>
        <w:spacing w:line="240" w:lineRule="auto"/>
        <w:ind w:left="720"/>
      </w:pPr>
      <w:r/>
      <w:hyperlink r:id="rId21">
        <w:r>
          <w:rPr>
            <w:color w:val="0000EE"/>
            <w:u w:val="single"/>
          </w:rPr>
          <w:t>https://www.twobirds.com/en/insights/australia/shaping-australias-tomorrow-what-lies-ahead-for-ai-and-automated-decision-making</w:t>
        </w:r>
      </w:hyperlink>
      <w:r>
        <w:t xml:space="preserve"> - An article from Bird &amp; Bird discusses Australia's privacy reforms concerning AI and automated decision-making. It highlights the risks associated with ADM, such as algorithmic bias and AI hallucinations, which can lead to misleading and erroneous outputs. The article notes that regulators and individuals have taken legal actions against companies using AI and ADM, resulting in successful actions under existing consumer protection laws. For instance, in April 2022, Trivago was ordered to pay a penalty of AUD$44.7 million for misleading consumers about hotel room rates. (</w:t>
      </w:r>
      <w:hyperlink r:id="rId22">
        <w:r>
          <w:rPr>
            <w:color w:val="0000EE"/>
            <w:u w:val="single"/>
          </w:rPr>
          <w:t>twobirds.com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ondaq.com/unitedstates/privacy-protection/1714862/automated-decision-making" TargetMode="External"/><Relationship Id="rId11" Type="http://schemas.openxmlformats.org/officeDocument/2006/relationships/hyperlink" Target="https://www.oaic.gov.au/engage-with-us/submissions/disr-proposals-paper-for-introducing-mandatory-guardrails-for-ai-in-high-risk-settings" TargetMode="External"/><Relationship Id="rId12" Type="http://schemas.openxmlformats.org/officeDocument/2006/relationships/hyperlink" Target="https://www.oaic.gov.au/engage-with-us/submissions/disr-proposals-paper-for-introducing-mandatory-guardrails-for-ai-in-high-risk-settings?utm_source=openai" TargetMode="External"/><Relationship Id="rId13" Type="http://schemas.openxmlformats.org/officeDocument/2006/relationships/hyperlink" Target="https://www.whitecase.com/insight-our-thinking/ai-watch-global-regulatory-tracker-australia" TargetMode="External"/><Relationship Id="rId14" Type="http://schemas.openxmlformats.org/officeDocument/2006/relationships/hyperlink" Target="https://www.whitecase.com/insight-our-thinking/ai-watch-global-regulatory-tracker-australia?utm_source=openai" TargetMode="External"/><Relationship Id="rId15" Type="http://schemas.openxmlformats.org/officeDocument/2006/relationships/hyperlink" Target="https://www.aph.gov.au/Parliamentary_Business/Committees/Senate/Economics/Digitalplatforms/Report/Chapter_6_-_Algorithmic_transparency" TargetMode="External"/><Relationship Id="rId16" Type="http://schemas.openxmlformats.org/officeDocument/2006/relationships/hyperlink" Target="https://www.aph.gov.au/Parliamentary_Business/Committees/Senate/Economics/Digitalplatforms/Report/Chapter_6_-_Algorithmic_transparency?utm_source=openai" TargetMode="External"/><Relationship Id="rId17" Type="http://schemas.openxmlformats.org/officeDocument/2006/relationships/hyperlink" Target="https://www.independent.org/article/2022/06/09/automated-decision-making-privacy-regulations/" TargetMode="External"/><Relationship Id="rId18" Type="http://schemas.openxmlformats.org/officeDocument/2006/relationships/hyperlink" Target="https://www.independent.org/article/2022/06/09/automated-decision-making-privacy-regulations/?utm_source=openai" TargetMode="External"/><Relationship Id="rId19" Type="http://schemas.openxmlformats.org/officeDocument/2006/relationships/hyperlink" Target="https://www.oaic.gov.au/engage-with-us/submissions/human-rights-and-technology-discussion-paper-submission-to-the-australian-human-rights-commission/" TargetMode="External"/><Relationship Id="rId20" Type="http://schemas.openxmlformats.org/officeDocument/2006/relationships/hyperlink" Target="https://www.oaic.gov.au/engage-with-us/submissions/human-rights-and-technology-discussion-paper-submission-to-the-australian-human-rights-commission/?utm_source=openai" TargetMode="External"/><Relationship Id="rId21" Type="http://schemas.openxmlformats.org/officeDocument/2006/relationships/hyperlink" Target="https://www.twobirds.com/en/insights/australia/shaping-australias-tomorrow-what-lies-ahead-for-ai-and-automated-decision-making" TargetMode="External"/><Relationship Id="rId22" Type="http://schemas.openxmlformats.org/officeDocument/2006/relationships/hyperlink" Target="https://www.twobirds.com/en/insights/2024/australia/shaping-australias-tomorrow-what-lies-ahead-for-ai-and-automated-decision-making?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