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Verticalising content to boost visibility in AI-driven discovery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Your buyers are already asking AI assistants extremely specific questions about your category, and whether your niche content is structured for discovery determines if those answers include your expertise or your competitors’.</w:t>
      </w:r>
      <w:r/>
    </w:p>
    <w:p>
      <w:r/>
      <w:r>
        <w:t>As large language models and AI agents move from novelty to routine research tools, visibility is no longer measured only in blue links. Verticalising content means expressing deep, domain‑specific knowledge in formats, structures and signals that models can ingest, recall and cite when they answer narrow, high‑intent queries. According to the original report, doing so turns a site from a scattered collection of posts into an authoritative, machine‑legible graph of knowledge that increases the likelihood of being surfaced in AI answers.</w:t>
      </w:r>
      <w:r/>
    </w:p>
    <w:p>
      <w:r/>
      <w:r>
        <w:t>Why traditional SEO alone is no longer sufficient Classic SEO taught marketers to chase generic keywords and backlinks. But industry data and recent studies show that LLM‑driven discovery privileges semantic fitness, coverage depth and precise framing of intent. When a procurement lead asks an assistant about “HIPAA‑compliant data archiving for regional hospitals” or “chargeback mitigation for B2B SaaS”, the model will favour content that maps cleanly to the query’s entities, constraints and desired outcomes, not merely pages that contain high‑volume keywords.</w:t>
      </w:r>
      <w:r/>
    </w:p>
    <w:p>
      <w:r/>
      <w:r>
        <w:t>Verticalising is therefore about specificity: tightly defined audiences, use cases, regulatory contexts and workflows. Research into vertical LLMs underscores measurable benefits , improved accuracy, faster adoption and cost savings , when models are tailored with domain data and clear scope. One industry paper argues that combining a general LLM with a small, domain‑specific model can materially boost performance on legal and medical benchmarks, demonstrating a cost‑efficient path for specialisation.</w:t>
      </w:r>
      <w:r/>
    </w:p>
    <w:p>
      <w:r/>
      <w:r>
        <w:t>How models ingest and reuse your knowledge Large models do not read a page as a human does; they segment, embed and compress meaning into vector spaces. The lead analysis highlights the practical consequences: clear headings, short labelled sections, stable URLs and repeated entity relationships help models build a coherent knowledge graph. Experimental findings , described in academic work as “study‑sheet” style conversions , suggest that concise, atomic facts and dense definitions produce higher factual accuracy and longer retention than unstructured corpora.</w:t>
      </w:r>
      <w:r/>
    </w:p>
    <w:p>
      <w:r/>
      <w:r>
        <w:t>Structuring content for LLM discovery A repeatable process can be codified as an optimisation cycle. The Vertical LLM Optimization Cycle described in the original piece comprises five stages: Intent Mapping, Corpus Design, Structuring, Technical Optimisation and Testing. Intent mapping begins with enumerating the exact questions, roles and constraints in your niche; corpus design compacts and deduplicates canonical assets; structuring reshapes pages into machine‑friendly formats such as single‑question FAQs, glossaries, SOPs and decision trees.</w:t>
      </w:r>
      <w:r/>
    </w:p>
    <w:p>
      <w:r/>
      <w:r>
        <w:t>Technical signals remain critical. The original guidance recommends schema markup (FAQPage, HowTo, Product), robust metadata, canonical tags and consistent author/organisation information to support E‑E‑A‑T. Internal linking and a URL hierarchy aligned to topic graphs help both crawlers and models disambiguate entities and regulatory boundaries. Verticalisation papers and operational frameworks affirm that modular pipelines, versioning and last‑updated dates are particularly important in regulated sectors to avoid propagating stale guidance.</w:t>
      </w:r>
      <w:r/>
    </w:p>
    <w:p>
      <w:r/>
      <w:r>
        <w:t>Design patterns and system architectures Recent frameworks propose layered and modular approaches to operationalise vertical systems. One academic model, BLADE, pairs a black‑box LLM with a small, pre‑trained domain model to combine broad language ability with specialised knowledge; another presents a layer‑wise abstraction for turning large models into usable vertical systems across healthcare, law and education. These architectures encourage organisations to treat vertical content not just as pages but as components in a hybrid stack , small specialised models, prompt controllers, and governance layers , that together reduce hallucination risk and improve traceability.</w:t>
      </w:r>
      <w:r/>
    </w:p>
    <w:p>
      <w:r/>
      <w:r>
        <w:t>Governance, measurement and the maturity curve Governance is central for high‑stakes domains. The lead material stresses version control, explicit last‑updated dates and SME workflows so canonical answers can be revised when regulations change. Operating an internal assistant as a test harness is advised: if an in‑house model hallucinates or misattributes jurisdictional guidance, governance teams can correct the corpus before errors diffuse to external assistants.</w:t>
      </w:r>
      <w:r/>
    </w:p>
    <w:p>
      <w:r/>
      <w:r>
        <w:t>Measurement must go beyond web analytics. The article recommends a measurement programme focused on three metrics: how often models cite or link to your pages, how frequently your perspectives appear in synthesized answers, and how comprehensively your corpus covers the mapped intents. Because standard analytics rarely capture “share of AI answers”, teams increasingly rely on specialised tracking tools and periodic manual audits using fixed prompt sets to benchmark assistant behaviour.</w:t>
      </w:r>
      <w:r/>
    </w:p>
    <w:p>
      <w:r/>
      <w:r>
        <w:t>Practical trade‑offs and recommendations for different organisations Not every organisation needs to build a bespoke LLM. Research for small and medium enterprises highlights pragmatic options: prompt engineering, transfer learning, lightweight fine‑tuning and curated corpora can yield meaningful gains where compute budgets and technical headcount are constrained. Conversely, large regulated players may benefit from modular vertical agents and more rigorous pipelines that embed legal, compliance and data governance into the model lifecycle.</w:t>
      </w:r>
      <w:r/>
    </w:p>
    <w:p>
      <w:r/>
      <w:r>
        <w:t>Maintaining editorial distance from vendor claims Consultancies and agencies are positioning services to accelerate this work. The original piece notes one vendor’s SEVO methodology and a linked offer of consultations to map niche visibility , a commercial proposition that should be evaluated alongside independent frameworks and peer case studies. Organisations should treat vendor claims as input, verifying outcomes through pilot measurement and governance checkpoints.</w:t>
      </w:r>
      <w:r/>
    </w:p>
    <w:p>
      <w:r/>
      <w:r>
        <w:t>Turning vertical LLM content into a growth channel As buyers increasingly rely on AI assistants to navigate complex buying and compliance decisions, the brands that win will be those whose niche content becomes the backbone of those answers. Industry and academic work converge on the same prescription: map intents tightly, curate and de‑duplicate canonical corpora, structure assets into machine‑legible “atoms”, add robust technical signals and govern change through SME workflows. Together these steps turn AI discovery from an opaque risk into a controllable growth channel that compounds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https://www.singlegrain.com/content-marketing-strategy-2/verticalizing-content-for-llm-discovery-in-niche-industries/</w:t>
        </w:r>
      </w:hyperlink>
      <w:r>
        <w:t xml:space="preserve"> - Please view link - unable to able to access data</w:t>
      </w:r>
      <w:r/>
    </w:p>
    <w:p>
      <w:pPr>
        <w:pStyle w:val="ListNumber"/>
        <w:spacing w:line="240" w:lineRule="auto"/>
        <w:ind w:left="720"/>
      </w:pPr>
      <w:r/>
      <w:hyperlink r:id="rId11">
        <w:r>
          <w:rPr>
            <w:color w:val="0000EE"/>
            <w:u w:val="single"/>
          </w:rPr>
          <w:t>https://www.emergys.com/wp-content/uploads/2025/06/Verticalization-of-Large-Language-Models-LLMs.pdf</w:t>
        </w:r>
      </w:hyperlink>
      <w:r>
        <w:t xml:space="preserve"> - This document discusses the verticalization of Large Language Models (LLMs), focusing on tailoring these models for specific industries such as finance, legal, healthcare, and retail. It highlights the benefits of verticalized LLMs, including improved accuracy, enhanced efficiency, greater adoption, and cost savings. The paper outlines steps in verticalizing LLMs, such as defining the domain scope, curating domain-specific data, fine-tuning the model, and evaluating performance. It also presents use cases for verticalized LLMs in various sectors and emphasizes the importance of verticalization in unlocking specialized potential across industries.</w:t>
      </w:r>
      <w:r/>
    </w:p>
    <w:p>
      <w:pPr>
        <w:pStyle w:val="ListNumber"/>
        <w:spacing w:line="240" w:lineRule="auto"/>
        <w:ind w:left="720"/>
      </w:pPr>
      <w:r/>
      <w:hyperlink r:id="rId12">
        <w:r>
          <w:rPr>
            <w:color w:val="0000EE"/>
            <w:u w:val="single"/>
          </w:rPr>
          <w:t>https://arxiv.org/abs/2403.18365</w:t>
        </w:r>
      </w:hyperlink>
      <w:r>
        <w:t xml:space="preserve"> - The paper introduces BLADE, a framework designed to enhance general Large Language Models (LLMs) with small domain-specific models. BLADE consists of a black-box LLM and a small domain-specific LM, combining the strengths of both to improve performance in vertical domains. The methodology involves pre-training the small LM with domain-specific data, fine-tuning it using knowledge instruction data, and jointly optimizing both models. Experiments on public legal and medical benchmarks demonstrate that BLADE significantly outperforms existing approaches, showcasing its potential as an effective and cost-efficient solution for adapting general LLMs to specialized domains.</w:t>
      </w:r>
      <w:r/>
    </w:p>
    <w:p>
      <w:pPr>
        <w:pStyle w:val="ListNumber"/>
        <w:spacing w:line="240" w:lineRule="auto"/>
        <w:ind w:left="720"/>
      </w:pPr>
      <w:r/>
      <w:hyperlink r:id="rId13">
        <w:r>
          <w:rPr>
            <w:color w:val="0000EE"/>
            <w:u w:val="single"/>
          </w:rPr>
          <w:t>https://arxiv.org/abs/2504.02793</w:t>
        </w:r>
      </w:hyperlink>
      <w:r>
        <w:t xml:space="preserve"> - This paper presents a framework for advancing vertical systems with large AI models, addressing challenges in deploying large models in high-stakes verticals like healthcare, education, and law. The framework introduces a layer-wise abstraction of innovations aimed at meeting users' requirements with large models. Through multiple case studies, it illustrates how researchers and practitioners can operationalize this framework, modularizing the pipeline of transforming large models into useful vertical systems. The paper also discusses the dynamism within different layers of the framework and how it can guide innovations, uncover opportunities, and facilitate cross-disciplinary communication of critical challenges.</w:t>
      </w:r>
      <w:r/>
    </w:p>
    <w:p>
      <w:pPr>
        <w:pStyle w:val="ListNumber"/>
        <w:spacing w:line="240" w:lineRule="auto"/>
        <w:ind w:left="720"/>
      </w:pPr>
      <w:r/>
      <w:hyperlink r:id="rId14">
        <w:r>
          <w:rPr>
            <w:color w:val="0000EE"/>
            <w:u w:val="single"/>
          </w:rPr>
          <w:t>https://arxiv.org/abs/2501.00881</w:t>
        </w:r>
      </w:hyperlink>
      <w:r>
        <w:t xml:space="preserve"> - The paper explores the evolution of agentic systems, focusing on vertical AI agents tailored to diverse industries. It defines a level of standardization for vertical AI agent design patterns by identifying core building blocks and proposing a Cognitive Skills Module that incorporates domain-specific, purpose-built inference capabilities. The paper offers a comprehensive introduction to agentic systems, detailing their core components, operational patterns, and implementation strategies. It further explores practical use cases and examples across various industries, highlighting the transformative potential of LLM agents in driving industry-specific applications.</w:t>
      </w:r>
      <w:r/>
    </w:p>
    <w:p>
      <w:pPr>
        <w:pStyle w:val="ListNumber"/>
        <w:spacing w:line="240" w:lineRule="auto"/>
        <w:ind w:left="720"/>
      </w:pPr>
      <w:r/>
      <w:hyperlink r:id="rId15">
        <w:r>
          <w:rPr>
            <w:color w:val="0000EE"/>
            <w:u w:val="single"/>
          </w:rPr>
          <w:t>https://info.idc.com/rs/081-ATC-910/images/IDC-FutureScape-2024-China-GenAI-Predictions-Excerpt-AP.pdf</w:t>
        </w:r>
      </w:hyperlink>
      <w:r>
        <w:t xml:space="preserve"> - This excerpt from the IDC FutureScape 2024 report discusses the potential of Generative AI with Large Language Models (LLMs) in various vertical industries, including retail, finance, government, manufacturing, healthcare, and more. It outlines scenarios for GenAI and LLMs in key verticals, highlighting applications such as risk assessment, policy modeling, product design, treatment recommendations, and more. The report emphasizes the transformative impact of GenAI and LLMs across different sectors, showcasing their potential to drive innovation and efficiency in various industries.</w:t>
      </w:r>
      <w:r/>
    </w:p>
    <w:p>
      <w:pPr>
        <w:pStyle w:val="ListNumber"/>
        <w:spacing w:line="240" w:lineRule="auto"/>
        <w:ind w:left="720"/>
      </w:pPr>
      <w:r/>
      <w:hyperlink r:id="rId16">
        <w:r>
          <w:rPr>
            <w:color w:val="0000EE"/>
            <w:u w:val="single"/>
          </w:rPr>
          <w:t>https://aclanthology.org/2025.coling-industry.16.pdf</w:t>
        </w:r>
      </w:hyperlink>
      <w:r>
        <w:t xml:space="preserve"> - This paper examines the varying challenges and considerations in leveraging Large Language Models (LLMs) across different industry scales, including small, medium, and large-scale industries. It discusses modes of LLM usage, challenges, data modalities, training time, dataset size, compute resources, and optimization techniques specific to each industry scale. The paper provides recommendations for small and medium-sized industries on optimizing LLM usage within constraints of limited computational resources and workforce, emphasizing prompt engineering and transfer learning techniques. It also addresses challenges such as cost, technical expertise, data privacy, performance, scalability, domain adoption, ethical concerns, regulations, and data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nglegrain.com/content-marketing-strategy-2/verticalizing-content-for-llm-discovery-in-niche-industries/" TargetMode="External"/><Relationship Id="rId11" Type="http://schemas.openxmlformats.org/officeDocument/2006/relationships/hyperlink" Target="https://www.emergys.com/wp-content/uploads/2025/06/Verticalization-of-Large-Language-Models-LLMs.pdf" TargetMode="External"/><Relationship Id="rId12" Type="http://schemas.openxmlformats.org/officeDocument/2006/relationships/hyperlink" Target="https://arxiv.org/abs/2403.18365" TargetMode="External"/><Relationship Id="rId13" Type="http://schemas.openxmlformats.org/officeDocument/2006/relationships/hyperlink" Target="https://arxiv.org/abs/2504.02793" TargetMode="External"/><Relationship Id="rId14" Type="http://schemas.openxmlformats.org/officeDocument/2006/relationships/hyperlink" Target="https://arxiv.org/abs/2501.00881" TargetMode="External"/><Relationship Id="rId15" Type="http://schemas.openxmlformats.org/officeDocument/2006/relationships/hyperlink" Target="https://info.idc.com/rs/081-ATC-910/images/IDC-FutureScape-2024-China-GenAI-Predictions-Excerpt-AP.pdf" TargetMode="External"/><Relationship Id="rId16" Type="http://schemas.openxmlformats.org/officeDocument/2006/relationships/hyperlink" Target="https://aclanthology.org/2025.coling-industry.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