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agent experience: designing APIs for autonomous AI consumers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as long as modern API practice has existed, developer experience has been the primary yardstick for measuring an API’s usability, reliability and effectiveness. Make your DX seamless and your API will be adopted; make it clumsy and developers will look elsewhere. But the rise of autonomous, agentic consumption is shifting that calculus: APIs must now be designed not only for human developers but for AI agents that will operate without human intervention.</w:t>
      </w:r>
      <w:r/>
    </w:p>
    <w:p>
      <w:r/>
      <w:r>
        <w:t>Agent experience, or AX, is the discipline that emerges from that shift. According to the Nordic APIs analysis, AX is “the act of designing a product in a way that AI agents can ‘understand’ it and reliably interact with it autonomously.” In other words, AX is UX where the user happens to be an agent. It builds on the lessons of UX and DX rather than replacing them: humans will continue to use and evaluate APIs, but agents bring different needs that require intentional design changes.</w:t>
      </w:r>
      <w:r/>
    </w:p>
    <w:p>
      <w:r/>
      <w:r>
        <w:t>The industry signals are unmistakable. Gartner forecasts that by 2028, 33% of enterprise applications will include agentic AI, with agentic systems making 15% of day-to-day work decisions autonomously. According to Salesforce, CEO Marc Benioff has articulated a vision of one billion AI agents by the end of 2026, underscoring the scale at which agentic consumption could arrive. Those projections heighten the imperative for API providers to prepare now.</w:t>
      </w:r>
      <w:r/>
    </w:p>
    <w:p>
      <w:r/>
      <w:r>
        <w:t>Agents behave differently from human developers, and those differences drive new design priorities. Autonomous agents cannot “read between the lines,” infer vague intent, or cope with inconsistent terminology. As John Gren of Gravitee put it in a presentation cited by Nordic APIs, “an agent needs to be a user within your ecosystem. It needs to be a first-class citizen, a first-class user just like humans are.” Poor agent experience, he warns, means agents “cannot understand what to do, and they will pick other tools instead.”</w:t>
      </w:r>
      <w:r/>
    </w:p>
    <w:p>
      <w:r/>
      <w:r>
        <w:t>Five practical areas of focus emerge from current industry thinking and guidance.</w:t>
      </w:r>
      <w:r/>
    </w:p>
    <w:p>
      <w:r/>
      <w:r>
        <w:t>1) Clear, unambiguous documentation Agents require machine-readable certainty. Content aimed at agents should avoid marketing language, idiom and ambiguity; instead it should look more like precise, contractual definitions. Several practitioner guides and platforms advise comprehensive schema coverage, consistent parameter definitions and explicit constraints so that agents can make deterministic decisions.</w:t>
      </w:r>
      <w:r/>
    </w:p>
    <w:p>
      <w:r/>
      <w:r>
        <w:t>2) Discoverability and machine-first wiring Agents will not learn about your API by word of mouth. Model-readable discovery, well-defined schemas, OpenAPI specifications, and techniques such as Model Context Protocol (MCP), is essential. MCP, championed by Anthropic and described by proponents as a kind of “USB-C for AI applications,” is already attracting attention as a standard that can allow agents to discover and integrate services programmatically. Platform speakers at industry events have emphasised that “if an agent can talk MCP, it can integrate with your service.”</w:t>
      </w:r>
      <w:r/>
    </w:p>
    <w:p>
      <w:r/>
      <w:r>
        <w:t>3) Authentication, authorisation and permission granularity Interactive auth patterns that work for humans, redirects, CAPTCHAs, manual consent screens, are friction points for autonomous agents. Best practice guidance recommends non-interactive authentication flows, short-lived tokens, fine-grained consents and explicit identity metadata in tokens so agents can be treated as first-class clients while minimising security risk. Clear failure modes and policies for when auth/authorisation fails are equally important so agents can recover or fall back safely.</w:t>
      </w:r>
      <w:r/>
    </w:p>
    <w:p>
      <w:r/>
      <w:r>
        <w:t>4) Protocols, context management and token economy Standards and operational practices that reduce token bloat and guard against hallucination are central to scalable AX. Practitioners suggest schema slimming, context trimming and compression modes for code and data to keep context windows efficient when agents operate at scale. As uptake of MCP and similar standards increases, attention to how context is packaged and transmitted will be decisive for performance and reliability.</w:t>
      </w:r>
      <w:r/>
    </w:p>
    <w:p>
      <w:r/>
      <w:r>
        <w:t>5) Observability, error semantics and automated testing When an agent encounters a silent failure, it will not file a ticket; it will either retry or migrate to another integration. That makes structured, machine-actionable error messages and robust observability essential. Nordic APIs quotes Gren advocating the inclusion of “agent acceptance criteria when building tools, and automating AI agent tests against tools and agents to ensure that they actually work.” Instrumentation, monitoring and automated agent test harnesses can detect regressions before external agents fail in production.</w:t>
      </w:r>
      <w:r/>
    </w:p>
    <w:p>
      <w:r/>
      <w:r>
        <w:t>The business case for investing in AX is growing. Postman’s State of the API 2025, cited by Nordic APIs, found that while 89% of respondents use generative AI daily, only 24% design APIs with agents in mind and 60% primarily design for humans. Other industry estimates, ranging from analyses that most web traffic is API-related to projections that a large share of office tasks will be automated, suggest a near-term future of vastly increased machine-driven API consumption. The logical conclusion is that the organisations that prepare their APIs for agents now will enjoy both resilience and adoption advantage as agents proliferate.</w:t>
      </w:r>
      <w:r/>
    </w:p>
    <w:p>
      <w:r/>
      <w:r>
        <w:t>That preparation is not merely technical optimisation; it is also a governance and trust challenge. Designers must balance agent capabilities with human comfort, using permission boundaries and explainability to reassure human stakeholders. Practitioners argue for conservative access controls and for including identity information in tokens so both platforms and human supervisors can audit and understand agent actions.</w:t>
      </w:r>
      <w:r/>
    </w:p>
    <w:p>
      <w:r/>
      <w:r>
        <w:t>AX is emerging from established practice rather than replacing it. The evolution from UX to DX to AX is, in many respects, a continuity: all three disciplines value discoverability, predictability and clear mental models. What changes is the unit of interaction and the constraints of the consumer. Agent experience asks API providers to be explicit in ways humans often tolerate being implicit, to present rules where humans might otherwise improvise and to instrument systems so that silent, automated consumers do not fail in the dark.</w:t>
      </w:r>
      <w:r/>
    </w:p>
    <w:p>
      <w:r/>
      <w:r>
        <w:t>For teams building APIs and platforms, the immediate checklist is straightforward: expand schema coverage and documentation; adopt machine-readable discovery standards such as OpenAPI and anticipate MCP; design non-interactive, auditable auth flows; optimise context handling for LLM-driven agents; and bake in observability and automated agent testing. Industry writing from AdoptAI, Superagentic AI and DigitalAPI.ai reinforces these practical steps, all pointing toward cleaner APIs and machine-ready documentation as central pillars of AX.</w:t>
      </w:r>
      <w:r/>
    </w:p>
    <w:p>
      <w:r/>
      <w:r>
        <w:t>As agentic systems become mainstream, AX will be a material determinant of which services succeed. The work of adapting APIs to autonomous consumers starts with recognising agents as first-class users and ends with systems that are predictable, discoverable and accountable, qualities that, crucially, benefit both machines and the humans who govern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https://nordicapis.com/what-is-agent-experience-ax/</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https://www.gartner.com/en/newsroom/press-releases/2023-04-04-gartner-forecasts-33-percent-of-enterprise-applications-will-include-agentic-ai-by-2028</w:t>
        </w:r>
      </w:hyperlink>
      <w:r>
        <w:t xml:space="preserve"> - Gartner forecasts that by 2028, 33% of enterprise applications will incorporate agentic AI, enabling 15% of daily work decisions to be made autonomously. This shift signifies a substantial move towards AI-driven processes in business operations, highlighting the growing importance of designing systems that can effectively interact with autonomous agents.</w:t>
      </w:r>
      <w:r/>
    </w:p>
    <w:p>
      <w:pPr>
        <w:pStyle w:val="ListNumber"/>
        <w:spacing w:line="240" w:lineRule="auto"/>
        <w:ind w:left="720"/>
      </w:pPr>
      <w:r/>
      <w:hyperlink r:id="rId12">
        <w:r>
          <w:rPr>
            <w:color w:val="0000EE"/>
            <w:u w:val="single"/>
          </w:rPr>
          <w:t>https://www.salesforce.com/blog/2024/09/ai-agents-2026/</w:t>
        </w:r>
      </w:hyperlink>
      <w:r>
        <w:t xml:space="preserve"> - In September 2024, Salesforce CEO Marc Benioff announced a vision to deploy one billion AI agents by the end of 2026. This ambitious goal underscores the rapid integration of AI agents into various business functions, emphasizing the need for systems that can seamlessly interact with these autonomous entities.</w:t>
      </w:r>
      <w:r/>
    </w:p>
    <w:p>
      <w:pPr>
        <w:pStyle w:val="ListNumber"/>
        <w:spacing w:line="240" w:lineRule="auto"/>
        <w:ind w:left="720"/>
      </w:pPr>
      <w:r/>
      <w:hyperlink r:id="rId13">
        <w:r>
          <w:rPr>
            <w:color w:val="0000EE"/>
            <w:u w:val="single"/>
          </w:rPr>
          <w:t>https://www.adopt.ai/blog/the-rise-of-agent-experience</w:t>
        </w:r>
      </w:hyperlink>
      <w:r>
        <w:t xml:space="preserve"> - AdoptAI's blog post discusses the emergence of Agent Experience (AX), focusing on designing products that AI agents can understand and interact with autonomously. It highlights the importance of clear, unambiguous documentation and discoverability to ensure effective AI agent interactions, marking a shift from traditional user experience (UX) and developer experience (DX) towards accommodating autonomous agents.</w:t>
      </w:r>
      <w:r/>
    </w:p>
    <w:p>
      <w:pPr>
        <w:pStyle w:val="ListNumber"/>
        <w:spacing w:line="240" w:lineRule="auto"/>
        <w:ind w:left="720"/>
      </w:pPr>
      <w:r/>
      <w:hyperlink r:id="rId14">
        <w:r>
          <w:rPr>
            <w:color w:val="0000EE"/>
            <w:u w:val="single"/>
          </w:rPr>
          <w:t>https://www.super-agentic.ai/agent-experience/</w:t>
        </w:r>
      </w:hyperlink>
      <w:r>
        <w:t xml:space="preserve"> - Superagentic AI introduces the concept of Agent Experience (AX), emphasizing the need for designing systems that are agent-readable, agent-operable, and agent-optimizable. The article outlines principles for AX, including clean APIs and machine-ready documentation, and discusses the benefits of intentional AX design, such as higher agent success rates and safer automation.</w:t>
      </w:r>
      <w:r/>
    </w:p>
    <w:p>
      <w:pPr>
        <w:pStyle w:val="ListNumber"/>
        <w:spacing w:line="240" w:lineRule="auto"/>
        <w:ind w:left="720"/>
      </w:pPr>
      <w:r/>
      <w:hyperlink r:id="rId15">
        <w:r>
          <w:rPr>
            <w:color w:val="0000EE"/>
            <w:u w:val="single"/>
          </w:rPr>
          <w:t>https://www.digitalapi.ai/blogs/how-to-make-your-apis-ready-for-ai-agents</w:t>
        </w:r>
      </w:hyperlink>
      <w:r>
        <w:t xml:space="preserve"> - DigitalAPI.ai provides guidance on preparing APIs for AI agents, recommending the use of OpenAPI 3.0+ with full schema coverage and natural language descriptions. These practices aim to enhance AI agents' understanding and interaction with APIs, ensuring effective and efficient integration of autonomous agents into digital services.</w:t>
      </w:r>
      <w:r/>
    </w:p>
    <w:p>
      <w:pPr>
        <w:pStyle w:val="ListNumber"/>
        <w:spacing w:line="240" w:lineRule="auto"/>
        <w:ind w:left="720"/>
      </w:pPr>
      <w:r/>
      <w:hyperlink r:id="rId16">
        <w:r>
          <w:rPr>
            <w:color w:val="0000EE"/>
            <w:u w:val="single"/>
          </w:rPr>
          <w:t>https://www.infoq.com/news/2015/10/api-developer-experience/</w:t>
        </w:r>
      </w:hyperlink>
      <w:r>
        <w:t xml:space="preserve"> - An InfoQ article explores the concept of API Developer Experience (DevEx), focusing on making APIs easy to use and understanding how developers perceive their interactions with APIs. It discusses the importance of defining user personas and evaluating usability aspects to improve developer satisfaction and productivity, laying the groundwork for the evolution towards Agent Experience (AX).</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ordicapis.com/what-is-agent-experience-ax/" TargetMode="External"/><Relationship Id="rId11" Type="http://schemas.openxmlformats.org/officeDocument/2006/relationships/hyperlink" Target="https://www.gartner.com/en/newsroom/press-releases/2023-04-04-gartner-forecasts-33-percent-of-enterprise-applications-will-include-agentic-ai-by-2028" TargetMode="External"/><Relationship Id="rId12" Type="http://schemas.openxmlformats.org/officeDocument/2006/relationships/hyperlink" Target="https://www.salesforce.com/blog/2024/09/ai-agents-2026/" TargetMode="External"/><Relationship Id="rId13" Type="http://schemas.openxmlformats.org/officeDocument/2006/relationships/hyperlink" Target="https://www.adopt.ai/blog/the-rise-of-agent-experience" TargetMode="External"/><Relationship Id="rId14" Type="http://schemas.openxmlformats.org/officeDocument/2006/relationships/hyperlink" Target="https://www.super-agentic.ai/agent-experience/" TargetMode="External"/><Relationship Id="rId15" Type="http://schemas.openxmlformats.org/officeDocument/2006/relationships/hyperlink" Target="https://www.digitalapi.ai/blogs/how-to-make-your-apis-ready-for-ai-agents" TargetMode="External"/><Relationship Id="rId16" Type="http://schemas.openxmlformats.org/officeDocument/2006/relationships/hyperlink" Target="https://www.infoq.com/news/2015/10/api-developer-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