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Emerging hybrid models enhance FMCG forecasting accuracy amid operational complexities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Accurate time series forecasting has become a strategic imperative for fast-moving consumer goods (FMCG) companies seeking to tighten supply chains, reduce waste and improve on-shelf availability. According to a technical deep-dive by 47Billion, moving from classical statistical methods to machine learning and deep learning can materially improve short‑term SKU‑level forecasts, but the right choice of model depends on data richness, seasonality and the operational horizon.</w:t>
      </w:r>
      <w:r/>
    </w:p>
    <w:p>
      <w:r/>
      <w:r>
        <w:t>The practical problem is familiar: small errors scale rapidly across large SKU portfolios. Over-forecasting increases storage costs, spoilage and forced markdowns; under‑forecasting leads to stockouts, lost sales and weakened customer loyalty. 47Billion’s proof‑of‑concept (PoC) focused on weekly forecasting for multiple SKUs over 4–8 week horizons using roughly 104 weeks of history per SKU. Constraints included weekly granularity, high SKU counts, initially no exogenous variables and a requirement for explainability, conditions that mirror replenishment and S&amp;OP cycles in markets from India to the USA.</w:t>
      </w:r>
      <w:r/>
    </w:p>
    <w:p>
      <w:r/>
      <w:r>
        <w:t>Classical statistical models remain valuable baselines. 47Billion reported that multiplicative exponential smoothing handled proportional seasonal spikes well, while SARIMA, with seasonal period m=52 for weekly data, delivered the best classical performance in the PoC, reducing MAPE compared with non‑seasonal ARIMA. The team emphasised standard model‑selection safeguards such as AIC/BIC and rolling‑window validation to avoid overfitting, and recommended differencing or log transforms when Augmented Dickey‑Fuller tests indicate non‑stationarity.</w:t>
      </w:r>
      <w:r/>
    </w:p>
    <w:p>
      <w:r/>
      <w:r>
        <w:t>Machine learning methods offer a different trade‑off. LightGBM, a gradient‑boosting framework, excelled in the PoC for medium‑complexity forecasting tasks: it handled non‑linearity, categorical features and engineered lag and rolling statistics efficiently and outperformed an LSTM when history was limited. 47Billion noted that tree‑based models often win in practical retail settings because they require less data and compute than deep networks while remaining interpretable to planners when coupled with sensible feature engineering.</w:t>
      </w:r>
      <w:r/>
    </w:p>
    <w:p>
      <w:r/>
      <w:r>
        <w:t>Deep learning such as LSTM and newer architectures including Temporal Fusion Transformers can capture long dependencies and multi‑signal interactions, but they demand extensive histories, rich covariates and careful tuning. In the PoC, LSTM underperformed due to the relatively short two‑year window and absence of exogenous signals. 47Billion nonetheless flagged hybrid and ensemble approaches, combining ARIMA or ETS baselines with ML or DL components, as a pragmatic path for enterprise forecasting where diverse data and longer horizons are available.</w:t>
      </w:r>
      <w:r/>
    </w:p>
    <w:p>
      <w:r/>
      <w:r>
        <w:t>Across methodologies, incorporating real‑world drivers consistently improves accuracy. The PoC and wider industry literature show material gains when promotions, holidays, weather and regional events are modelled, approaches such as SARIMAX or ML models with uplift features can reduce errors substantially. According to an industry commentary on India’s FMCG supply chain by ADAGlobal, treating demand forecasting as strategic intelligence, integrating near‑real‑time data and analytics, helps static models adapt to rapid market changes.</w:t>
      </w:r>
      <w:r/>
    </w:p>
    <w:p>
      <w:r/>
      <w:r>
        <w:t>Operational realities widen the scope of the problem. Trade publications and sector analyses highlight persistent challenges that forecasting alone cannot fix: data quality and integration hurdles, distribution complexity, informal trade channels in some regions and infrastructure limitations. Meegle stresses that forecast volatility and poor data capture undermine planning, while FieldAssist and Intugine emphasise route‑to‑market, visibility and coordination as critical complements to modelling. Giland’s supply‑chain review further underlines transport, logistics and regulatory complexity as factors that affect the ultimate usefulness of forecasts.</w:t>
      </w:r>
      <w:r/>
    </w:p>
    <w:p>
      <w:r/>
      <w:r>
        <w:t>Practical guidance for model selection emerges from combining those technical and operational perspectives. 47Billion and other industry sources suggest:</w:t>
      </w:r>
      <w:r/>
      <w:r/>
    </w:p>
    <w:p>
      <w:pPr>
        <w:pStyle w:val="ListBullet"/>
        <w:spacing w:line="240" w:lineRule="auto"/>
        <w:ind w:left="720"/>
      </w:pPr>
      <w:r/>
      <w:r>
        <w:t xml:space="preserve">Use SARIMA/ETS for clear seasonality and short data histories because they are interpretable and robust. </w:t>
      </w:r>
      <w:r/>
    </w:p>
    <w:p>
      <w:pPr>
        <w:pStyle w:val="ListBullet"/>
        <w:spacing w:line="240" w:lineRule="auto"/>
        <w:ind w:left="720"/>
      </w:pPr>
      <w:r/>
      <w:r>
        <w:t xml:space="preserve">Use LightGBM or similar tree‑based ML when medium complexity and engineered features are available. </w:t>
      </w:r>
      <w:r/>
    </w:p>
    <w:p>
      <w:pPr>
        <w:pStyle w:val="ListBullet"/>
        <w:spacing w:line="240" w:lineRule="auto"/>
        <w:ind w:left="720"/>
      </w:pPr>
      <w:r/>
      <w:r>
        <w:t xml:space="preserve">Reserve LSTM/transformer approaches for longer histories, rich covariates and enterprise‑scale, multi‑horizon requirements. </w:t>
      </w:r>
      <w:r/>
    </w:p>
    <w:p>
      <w:pPr>
        <w:pStyle w:val="ListBullet"/>
        <w:spacing w:line="240" w:lineRule="auto"/>
        <w:ind w:left="720"/>
      </w:pPr>
      <w:r/>
      <w:r>
        <w:t>Combine signals and models in ensembles where possible, and embed drift detection and accuracy monitoring to maintain production performance.</w:t>
      </w:r>
      <w:r/>
      <w:r/>
    </w:p>
    <w:p>
      <w:r/>
      <w:r>
        <w:t>Equally important is the delivery architecture. 47Billion describes end‑to‑end systems that include promotion‑aware pipelines, accuracy monitoring, UI dashboards for planners and ERP/SCM integration. Industry commentary echoes that technology alone is insufficient: successful deployment requires reliable data capture, clear route‑to‑market strategies, and stakeholder alignment so planners can act on model outputs.</w:t>
      </w:r>
      <w:r/>
    </w:p>
    <w:p>
      <w:r/>
      <w:r>
        <w:t>The cumulative lesson is that forecasting in FMCG is as much organisational as it is technical. Classical models retain value as interpretable baselines; ML brings efficiency and non‑linear modelling power; deep learning offers potential when scale and covariates justify the complexity. According to sector practitioners, the greatest gains come from integrated platforms that combine robust data pipelines, model ensembles and operational processes, turning predictive analytics into actionable demand intelligence across regions and channels.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https://47billion.com/blog/time-series-forecasting-for-fmcg-products-from-classical-models-to-ai-driven-demand-planning/</w:t>
        </w:r>
      </w:hyperlink>
      <w:r>
        <w:t xml:space="preserve"> - Please view link - unable to able to access data</w:t>
      </w:r>
      <w:r/>
    </w:p>
    <w:p>
      <w:pPr>
        <w:pStyle w:val="ListNumber"/>
        <w:spacing w:line="240" w:lineRule="auto"/>
        <w:ind w:left="720"/>
      </w:pPr>
      <w:r/>
      <w:hyperlink r:id="rId11">
        <w:r>
          <w:rPr>
            <w:color w:val="0000EE"/>
            <w:u w:val="single"/>
          </w:rPr>
          <w:t>https://www.meegle.com/en_us/topics/fmcg/demand-planning</w:t>
        </w:r>
      </w:hyperlink>
      <w:r>
        <w:t xml:space="preserve"> - This article discusses the significance of demand planning in the FMCG sector, highlighting challenges such as data accuracy issues, forecast volatility, and integration difficulties. It emphasizes the need for proactive strategies, including robust data collection, advanced forecasting techniques, and machine learning models, to enhance forecast reliability and supply chain efficiency.</w:t>
      </w:r>
      <w:r/>
    </w:p>
    <w:p>
      <w:pPr>
        <w:pStyle w:val="ListNumber"/>
        <w:spacing w:line="240" w:lineRule="auto"/>
        <w:ind w:left="720"/>
      </w:pPr>
      <w:r/>
      <w:hyperlink r:id="rId12">
        <w:r>
          <w:rPr>
            <w:color w:val="0000EE"/>
            <w:u w:val="single"/>
          </w:rPr>
          <w:t>https://www.adaglobal.com/resources/insights/ai-driven-demand-forecasting-in-indias-fmcg-supply-chain</w:t>
        </w:r>
      </w:hyperlink>
      <w:r>
        <w:t xml:space="preserve"> - This piece examines the limitations of traditional forecasting methods in India's FMCG supply chain, noting that static models fail to adapt to rapid market changes. It advocates for treating demand forecasting as strategic intelligence, integrating real-time data and advanced analytics to improve accuracy and responsiveness.</w:t>
      </w:r>
      <w:r/>
    </w:p>
    <w:p>
      <w:pPr>
        <w:pStyle w:val="ListNumber"/>
        <w:spacing w:line="240" w:lineRule="auto"/>
        <w:ind w:left="720"/>
      </w:pPr>
      <w:r/>
      <w:hyperlink r:id="rId13">
        <w:r>
          <w:rPr>
            <w:color w:val="0000EE"/>
            <w:u w:val="single"/>
          </w:rPr>
          <w:t>https://giland.com/supply-chain-management-fmcg/</w:t>
        </w:r>
      </w:hyperlink>
      <w:r>
        <w:t xml:space="preserve"> - This article outlines key challenges in FMCG supply chain management, including transportation and logistics issues, technology integration hurdles, and regulatory compliance complexities. It underscores the importance of addressing these challenges to maintain operational efficiency and meet consumer demand effectively.</w:t>
      </w:r>
      <w:r/>
    </w:p>
    <w:p>
      <w:pPr>
        <w:pStyle w:val="ListNumber"/>
        <w:spacing w:line="240" w:lineRule="auto"/>
        <w:ind w:left="720"/>
      </w:pPr>
      <w:r/>
      <w:hyperlink r:id="rId14">
        <w:r>
          <w:rPr>
            <w:color w:val="0000EE"/>
            <w:u w:val="single"/>
          </w:rPr>
          <w:t>https://fieldassist.com/blog/challenges-in-africa-fmcg-market-how-route-to-market-solves-them/</w:t>
        </w:r>
      </w:hyperlink>
      <w:r>
        <w:t xml:space="preserve"> - This blog post highlights obstacles faced by FMCG companies in Africa, such as the dominance of informal trade, pilferage, and inventory gaps. It discusses how route-to-market strategies can address these issues by improving visibility, data accuracy, and distribution efficiency.</w:t>
      </w:r>
      <w:r/>
    </w:p>
    <w:p>
      <w:pPr>
        <w:pStyle w:val="ListNumber"/>
        <w:spacing w:line="240" w:lineRule="auto"/>
        <w:ind w:left="720"/>
      </w:pPr>
      <w:r/>
      <w:hyperlink r:id="rId15">
        <w:r>
          <w:rPr>
            <w:color w:val="0000EE"/>
            <w:u w:val="single"/>
          </w:rPr>
          <w:t>https://www.intugine.com/blog-detail/fmcg-supply-chain-complexities-how-can-visibility-untangle-the-inefficiencies</w:t>
        </w:r>
      </w:hyperlink>
      <w:r>
        <w:t xml:space="preserve"> - This article delves into the complexities of FMCG supply chains, focusing on challenges like inadequate infrastructure, availability across channels, and the need for close collaboration and accountability among stakeholders. It advocates for enhanced visibility and coordination to untangle inefficiencies and improve supply chain performance.</w:t>
      </w:r>
      <w:r/>
    </w:p>
    <w:p>
      <w:pPr>
        <w:pStyle w:val="ListNumber"/>
        <w:spacing w:line="240" w:lineRule="auto"/>
        <w:ind w:left="720"/>
      </w:pPr>
      <w:r/>
      <w:hyperlink r:id="rId16">
        <w:r>
          <w:rPr>
            <w:color w:val="0000EE"/>
            <w:u w:val="single"/>
          </w:rPr>
          <w:t>https://www.fieldproxy.ai/blog/biggest-challenges-fmcg</w:t>
        </w:r>
      </w:hyperlink>
      <w:r>
        <w:t xml:space="preserve"> - This comprehensive guide explores major challenges in the FMCG sector, including distribution network complexity, inventory management, demand forecasting difficulties, and competition from established brands. It offers insights into overcoming these challenges to achieve sustained growth and competitive advantage.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47billion.com/blog/time-series-forecasting-for-fmcg-products-from-classical-models-to-ai-driven-demand-planning/" TargetMode="External"/><Relationship Id="rId11" Type="http://schemas.openxmlformats.org/officeDocument/2006/relationships/hyperlink" Target="https://www.meegle.com/en_us/topics/fmcg/demand-planning" TargetMode="External"/><Relationship Id="rId12" Type="http://schemas.openxmlformats.org/officeDocument/2006/relationships/hyperlink" Target="https://www.adaglobal.com/resources/insights/ai-driven-demand-forecasting-in-indias-fmcg-supply-chain" TargetMode="External"/><Relationship Id="rId13" Type="http://schemas.openxmlformats.org/officeDocument/2006/relationships/hyperlink" Target="https://giland.com/supply-chain-management-fmcg/" TargetMode="External"/><Relationship Id="rId14" Type="http://schemas.openxmlformats.org/officeDocument/2006/relationships/hyperlink" Target="https://fieldassist.com/blog/challenges-in-africa-fmcg-market-how-route-to-market-solves-them/" TargetMode="External"/><Relationship Id="rId15" Type="http://schemas.openxmlformats.org/officeDocument/2006/relationships/hyperlink" Target="https://www.intugine.com/blog-detail/fmcg-supply-chain-complexities-how-can-visibility-untangle-the-inefficiencies" TargetMode="External"/><Relationship Id="rId16" Type="http://schemas.openxmlformats.org/officeDocument/2006/relationships/hyperlink" Target="https://www.fieldproxy.ai/blog/biggest-challenges-fmc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